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FABD1" w14:textId="328B1638" w:rsidR="00110E5E" w:rsidRDefault="007E30EF" w:rsidP="001C48DF">
      <w:pPr>
        <w:pStyle w:val="Heading2"/>
        <w:jc w:val="center"/>
      </w:pPr>
      <w:bookmarkStart w:id="0" w:name="_GoBack"/>
      <w:bookmarkEnd w:id="0"/>
      <w:r>
        <w:t>Supplemental Material</w:t>
      </w:r>
    </w:p>
    <w:p w14:paraId="2A926DD4" w14:textId="1607D33E" w:rsidR="007E30EF" w:rsidRDefault="007E30EF" w:rsidP="007E30EF">
      <w:r>
        <w:t>Table S1</w:t>
      </w:r>
    </w:p>
    <w:p w14:paraId="4E8C1A55" w14:textId="704D74CC" w:rsidR="007E30EF" w:rsidRPr="00220BB8" w:rsidRDefault="007E30EF" w:rsidP="007E30EF">
      <w:pPr>
        <w:rPr>
          <w:i/>
        </w:rPr>
      </w:pPr>
      <w:r>
        <w:rPr>
          <w:i/>
        </w:rPr>
        <w:t>Descriptive statistics, tests against chance, and average</w:t>
      </w:r>
      <w:r w:rsidRPr="00220BB8">
        <w:rPr>
          <w:i/>
        </w:rPr>
        <w:t xml:space="preserve"> estimates</w:t>
      </w:r>
      <w:r>
        <w:rPr>
          <w:i/>
        </w:rPr>
        <w:t xml:space="preserve"> of fit to the Weber model.</w:t>
      </w:r>
    </w:p>
    <w:tbl>
      <w:tblPr>
        <w:tblStyle w:val="TableGrid"/>
        <w:tblW w:w="10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268"/>
        <w:gridCol w:w="851"/>
        <w:gridCol w:w="850"/>
        <w:gridCol w:w="709"/>
        <w:gridCol w:w="709"/>
        <w:gridCol w:w="1559"/>
        <w:gridCol w:w="1482"/>
      </w:tblGrid>
      <w:tr w:rsidR="007E30EF" w14:paraId="4207B5CC" w14:textId="77777777" w:rsidTr="00404903">
        <w:trPr>
          <w:trHeight w:val="328"/>
        </w:trPr>
        <w:tc>
          <w:tcPr>
            <w:tcW w:w="1701" w:type="dxa"/>
            <w:tcBorders>
              <w:top w:val="single" w:sz="4" w:space="0" w:color="auto"/>
              <w:bottom w:val="single" w:sz="4" w:space="0" w:color="auto"/>
            </w:tcBorders>
          </w:tcPr>
          <w:p w14:paraId="249AFB10" w14:textId="77777777" w:rsidR="007E30EF" w:rsidRDefault="007E30EF" w:rsidP="00127CD3">
            <w:pPr>
              <w:spacing w:line="276" w:lineRule="auto"/>
            </w:pPr>
            <w:r>
              <w:t>Dimension</w:t>
            </w:r>
          </w:p>
        </w:tc>
        <w:tc>
          <w:tcPr>
            <w:tcW w:w="2268" w:type="dxa"/>
            <w:tcBorders>
              <w:top w:val="single" w:sz="4" w:space="0" w:color="auto"/>
              <w:bottom w:val="single" w:sz="4" w:space="0" w:color="auto"/>
            </w:tcBorders>
          </w:tcPr>
          <w:p w14:paraId="689E6DFA" w14:textId="77777777" w:rsidR="007E30EF" w:rsidRPr="00E22790" w:rsidRDefault="007E30EF" w:rsidP="00127CD3">
            <w:pPr>
              <w:spacing w:line="276" w:lineRule="auto"/>
              <w:ind w:right="33"/>
            </w:pPr>
            <w:r>
              <w:rPr>
                <w:i/>
              </w:rPr>
              <w:t>M</w:t>
            </w:r>
            <w:r w:rsidRPr="00E22790">
              <w:t xml:space="preserve"> [95% CI]</w:t>
            </w:r>
          </w:p>
        </w:tc>
        <w:tc>
          <w:tcPr>
            <w:tcW w:w="851" w:type="dxa"/>
            <w:tcBorders>
              <w:top w:val="single" w:sz="4" w:space="0" w:color="auto"/>
              <w:bottom w:val="single" w:sz="4" w:space="0" w:color="auto"/>
            </w:tcBorders>
          </w:tcPr>
          <w:p w14:paraId="20EDEF82" w14:textId="77777777" w:rsidR="007E30EF" w:rsidRPr="00CE1444" w:rsidRDefault="007E30EF" w:rsidP="00127CD3">
            <w:pPr>
              <w:spacing w:line="276" w:lineRule="auto"/>
              <w:rPr>
                <w:i/>
              </w:rPr>
            </w:pPr>
            <w:proofErr w:type="gramStart"/>
            <w:r>
              <w:rPr>
                <w:i/>
              </w:rPr>
              <w:t>t</w:t>
            </w:r>
            <w:r w:rsidRPr="00CE1444">
              <w:t>(</w:t>
            </w:r>
            <w:proofErr w:type="gramEnd"/>
            <w:r w:rsidRPr="00CE1444">
              <w:t>40</w:t>
            </w:r>
            <w:r w:rsidRPr="00A9190A">
              <w:t>)</w:t>
            </w:r>
          </w:p>
        </w:tc>
        <w:tc>
          <w:tcPr>
            <w:tcW w:w="850" w:type="dxa"/>
            <w:tcBorders>
              <w:top w:val="single" w:sz="4" w:space="0" w:color="auto"/>
              <w:bottom w:val="single" w:sz="4" w:space="0" w:color="auto"/>
            </w:tcBorders>
          </w:tcPr>
          <w:p w14:paraId="6309FFFA" w14:textId="77777777" w:rsidR="007E30EF" w:rsidRPr="00CE1444" w:rsidRDefault="007E30EF" w:rsidP="00127CD3">
            <w:pPr>
              <w:spacing w:line="276" w:lineRule="auto"/>
              <w:rPr>
                <w:i/>
              </w:rPr>
            </w:pPr>
            <w:r w:rsidRPr="00CE1444">
              <w:rPr>
                <w:i/>
              </w:rPr>
              <w:t>p</w:t>
            </w:r>
          </w:p>
        </w:tc>
        <w:tc>
          <w:tcPr>
            <w:tcW w:w="709" w:type="dxa"/>
            <w:tcBorders>
              <w:top w:val="single" w:sz="4" w:space="0" w:color="auto"/>
              <w:bottom w:val="single" w:sz="4" w:space="0" w:color="auto"/>
            </w:tcBorders>
          </w:tcPr>
          <w:p w14:paraId="11AE0B0A" w14:textId="77777777" w:rsidR="007E30EF" w:rsidRPr="00D26CCF" w:rsidRDefault="007E30EF" w:rsidP="00127CD3">
            <w:pPr>
              <w:spacing w:line="276" w:lineRule="auto"/>
            </w:pPr>
            <w:r w:rsidRPr="00A9190A">
              <w:rPr>
                <w:i/>
              </w:rPr>
              <w:t>d</w:t>
            </w:r>
          </w:p>
        </w:tc>
        <w:tc>
          <w:tcPr>
            <w:tcW w:w="709" w:type="dxa"/>
            <w:tcBorders>
              <w:top w:val="single" w:sz="4" w:space="0" w:color="auto"/>
              <w:bottom w:val="single" w:sz="4" w:space="0" w:color="auto"/>
            </w:tcBorders>
          </w:tcPr>
          <w:p w14:paraId="5CEA43B7" w14:textId="77777777" w:rsidR="007E30EF" w:rsidRDefault="007E30EF" w:rsidP="00127CD3">
            <w:pPr>
              <w:spacing w:line="276" w:lineRule="auto"/>
            </w:pPr>
            <w:r>
              <w:t># Fit</w:t>
            </w:r>
          </w:p>
        </w:tc>
        <w:tc>
          <w:tcPr>
            <w:tcW w:w="1559" w:type="dxa"/>
            <w:tcBorders>
              <w:top w:val="single" w:sz="4" w:space="0" w:color="auto"/>
              <w:bottom w:val="single" w:sz="4" w:space="0" w:color="auto"/>
            </w:tcBorders>
          </w:tcPr>
          <w:p w14:paraId="2234AF74" w14:textId="77777777" w:rsidR="007E30EF" w:rsidRPr="00CE1444" w:rsidRDefault="007E30EF" w:rsidP="00127CD3">
            <w:pPr>
              <w:spacing w:line="276" w:lineRule="auto"/>
            </w:pPr>
            <w:r w:rsidRPr="00CE1444">
              <w:rPr>
                <w:i/>
              </w:rPr>
              <w:t>w</w:t>
            </w:r>
            <w:r w:rsidRPr="00CE1444">
              <w:t xml:space="preserve"> [95% CI]</w:t>
            </w:r>
          </w:p>
        </w:tc>
        <w:tc>
          <w:tcPr>
            <w:tcW w:w="1482" w:type="dxa"/>
            <w:tcBorders>
              <w:top w:val="single" w:sz="4" w:space="0" w:color="auto"/>
              <w:bottom w:val="single" w:sz="4" w:space="0" w:color="auto"/>
            </w:tcBorders>
          </w:tcPr>
          <w:p w14:paraId="5A3BC52A" w14:textId="77777777" w:rsidR="007E30EF" w:rsidRPr="00CE1444" w:rsidRDefault="007E30EF" w:rsidP="00127CD3">
            <w:pPr>
              <w:spacing w:line="276" w:lineRule="auto"/>
            </w:pPr>
            <w:r w:rsidRPr="00CE1444">
              <w:t>Lapse rate [95% CI]</w:t>
            </w:r>
          </w:p>
        </w:tc>
      </w:tr>
      <w:tr w:rsidR="007E30EF" w14:paraId="1CDE65AB" w14:textId="77777777" w:rsidTr="00404903">
        <w:trPr>
          <w:trHeight w:val="305"/>
        </w:trPr>
        <w:tc>
          <w:tcPr>
            <w:tcW w:w="10129" w:type="dxa"/>
            <w:gridSpan w:val="8"/>
          </w:tcPr>
          <w:p w14:paraId="6663C737" w14:textId="025E3F21" w:rsidR="007E30EF" w:rsidRDefault="00561856" w:rsidP="00127CD3">
            <w:pPr>
              <w:spacing w:line="276" w:lineRule="auto"/>
            </w:pPr>
            <w:r>
              <w:t xml:space="preserve">Non-Inverted Model </w:t>
            </w:r>
            <w:r w:rsidR="007E30EF">
              <w:t>Confidence Analyses</w:t>
            </w:r>
          </w:p>
        </w:tc>
      </w:tr>
      <w:tr w:rsidR="007E30EF" w14:paraId="36C411A6" w14:textId="77777777" w:rsidTr="00404903">
        <w:trPr>
          <w:trHeight w:val="305"/>
        </w:trPr>
        <w:tc>
          <w:tcPr>
            <w:tcW w:w="1701" w:type="dxa"/>
          </w:tcPr>
          <w:p w14:paraId="306261DA" w14:textId="46309E5D" w:rsidR="007E30EF" w:rsidRDefault="00247878" w:rsidP="00127CD3">
            <w:pPr>
              <w:spacing w:line="276" w:lineRule="auto"/>
            </w:pPr>
            <w:r>
              <w:t xml:space="preserve">     </w:t>
            </w:r>
            <w:r w:rsidR="007E30EF">
              <w:t>Number</w:t>
            </w:r>
          </w:p>
        </w:tc>
        <w:tc>
          <w:tcPr>
            <w:tcW w:w="2268" w:type="dxa"/>
          </w:tcPr>
          <w:p w14:paraId="4950B7B2" w14:textId="77777777" w:rsidR="007E30EF" w:rsidRPr="00CE1444" w:rsidRDefault="007E30EF" w:rsidP="00127CD3">
            <w:pPr>
              <w:spacing w:line="276" w:lineRule="auto"/>
            </w:pPr>
            <w:r>
              <w:t>70.00</w:t>
            </w:r>
            <w:r w:rsidRPr="00CE1444">
              <w:t xml:space="preserve"> [</w:t>
            </w:r>
            <w:r>
              <w:t>63.04</w:t>
            </w:r>
            <w:r w:rsidRPr="00CE1444">
              <w:t xml:space="preserve">, </w:t>
            </w:r>
            <w:r>
              <w:t>76.96</w:t>
            </w:r>
            <w:r w:rsidRPr="00CE1444">
              <w:t>]</w:t>
            </w:r>
          </w:p>
        </w:tc>
        <w:tc>
          <w:tcPr>
            <w:tcW w:w="851" w:type="dxa"/>
          </w:tcPr>
          <w:p w14:paraId="38A3F6CA" w14:textId="77777777" w:rsidR="007E30EF" w:rsidRDefault="007E30EF" w:rsidP="00127CD3">
            <w:pPr>
              <w:spacing w:line="276" w:lineRule="auto"/>
            </w:pPr>
            <w:r>
              <w:rPr>
                <w:lang w:val="en-US"/>
              </w:rPr>
              <w:t>5.81</w:t>
            </w:r>
          </w:p>
        </w:tc>
        <w:tc>
          <w:tcPr>
            <w:tcW w:w="850" w:type="dxa"/>
          </w:tcPr>
          <w:p w14:paraId="053F7608" w14:textId="77777777" w:rsidR="007E30EF" w:rsidRDefault="007E30EF" w:rsidP="00127CD3">
            <w:pPr>
              <w:spacing w:line="276" w:lineRule="auto"/>
            </w:pPr>
            <w:r>
              <w:rPr>
                <w:lang w:val="en-US"/>
              </w:rPr>
              <w:t>&lt;.001</w:t>
            </w:r>
          </w:p>
        </w:tc>
        <w:tc>
          <w:tcPr>
            <w:tcW w:w="709" w:type="dxa"/>
          </w:tcPr>
          <w:p w14:paraId="6E9FD1CB" w14:textId="77777777" w:rsidR="007E30EF" w:rsidRDefault="007E30EF" w:rsidP="00127CD3">
            <w:pPr>
              <w:spacing w:line="276" w:lineRule="auto"/>
            </w:pPr>
            <w:r>
              <w:rPr>
                <w:lang w:val="en-US"/>
              </w:rPr>
              <w:t>0.92</w:t>
            </w:r>
          </w:p>
        </w:tc>
        <w:tc>
          <w:tcPr>
            <w:tcW w:w="709" w:type="dxa"/>
          </w:tcPr>
          <w:p w14:paraId="04403E21" w14:textId="77777777" w:rsidR="007E30EF" w:rsidRDefault="007E30EF" w:rsidP="00127CD3">
            <w:pPr>
              <w:spacing w:line="276" w:lineRule="auto"/>
            </w:pPr>
            <w:r>
              <w:t>31</w:t>
            </w:r>
          </w:p>
        </w:tc>
        <w:tc>
          <w:tcPr>
            <w:tcW w:w="1559" w:type="dxa"/>
          </w:tcPr>
          <w:p w14:paraId="2F9C2253" w14:textId="77777777" w:rsidR="007E30EF" w:rsidRDefault="007E30EF" w:rsidP="00127CD3">
            <w:pPr>
              <w:spacing w:line="276" w:lineRule="auto"/>
            </w:pPr>
            <w:r>
              <w:t>.42 [.27, .56]</w:t>
            </w:r>
          </w:p>
        </w:tc>
        <w:tc>
          <w:tcPr>
            <w:tcW w:w="1482" w:type="dxa"/>
          </w:tcPr>
          <w:p w14:paraId="13DD95AF" w14:textId="77777777" w:rsidR="007E30EF" w:rsidRDefault="007E30EF" w:rsidP="00127CD3">
            <w:pPr>
              <w:spacing w:line="276" w:lineRule="auto"/>
            </w:pPr>
            <w:r>
              <w:t>.10 [.04, .15]</w:t>
            </w:r>
          </w:p>
        </w:tc>
      </w:tr>
      <w:tr w:rsidR="007E30EF" w14:paraId="0B954A25" w14:textId="77777777" w:rsidTr="00404903">
        <w:trPr>
          <w:trHeight w:val="284"/>
        </w:trPr>
        <w:tc>
          <w:tcPr>
            <w:tcW w:w="1701" w:type="dxa"/>
          </w:tcPr>
          <w:p w14:paraId="1AE5D430" w14:textId="34FDCCE4" w:rsidR="007E30EF" w:rsidRDefault="00247878" w:rsidP="00127CD3">
            <w:pPr>
              <w:spacing w:line="276" w:lineRule="auto"/>
            </w:pPr>
            <w:r>
              <w:t xml:space="preserve">     </w:t>
            </w:r>
            <w:r w:rsidR="007E30EF">
              <w:t>Area</w:t>
            </w:r>
          </w:p>
        </w:tc>
        <w:tc>
          <w:tcPr>
            <w:tcW w:w="2268" w:type="dxa"/>
          </w:tcPr>
          <w:p w14:paraId="7E0A08D4" w14:textId="77777777" w:rsidR="007E30EF" w:rsidRPr="00CE1444" w:rsidRDefault="007E30EF" w:rsidP="00127CD3">
            <w:pPr>
              <w:spacing w:line="276" w:lineRule="auto"/>
            </w:pPr>
            <w:r>
              <w:t>77.33</w:t>
            </w:r>
            <w:r w:rsidRPr="00CE1444">
              <w:t xml:space="preserve"> [</w:t>
            </w:r>
            <w:r>
              <w:t>69.98</w:t>
            </w:r>
            <w:r w:rsidRPr="00CE1444">
              <w:t xml:space="preserve">, </w:t>
            </w:r>
            <w:r>
              <w:t>84.68</w:t>
            </w:r>
            <w:r w:rsidRPr="00CE1444">
              <w:t>]</w:t>
            </w:r>
          </w:p>
        </w:tc>
        <w:tc>
          <w:tcPr>
            <w:tcW w:w="851" w:type="dxa"/>
          </w:tcPr>
          <w:p w14:paraId="6201B396" w14:textId="77777777" w:rsidR="007E30EF" w:rsidRDefault="007E30EF" w:rsidP="00127CD3">
            <w:pPr>
              <w:spacing w:line="276" w:lineRule="auto"/>
            </w:pPr>
            <w:r>
              <w:rPr>
                <w:lang w:val="en-US"/>
              </w:rPr>
              <w:t>7.52</w:t>
            </w:r>
          </w:p>
        </w:tc>
        <w:tc>
          <w:tcPr>
            <w:tcW w:w="850" w:type="dxa"/>
          </w:tcPr>
          <w:p w14:paraId="76536405" w14:textId="77777777" w:rsidR="007E30EF" w:rsidRDefault="007E30EF" w:rsidP="00127CD3">
            <w:pPr>
              <w:spacing w:line="276" w:lineRule="auto"/>
            </w:pPr>
            <w:r>
              <w:rPr>
                <w:lang w:val="en-US"/>
              </w:rPr>
              <w:t>&lt;.001</w:t>
            </w:r>
          </w:p>
        </w:tc>
        <w:tc>
          <w:tcPr>
            <w:tcW w:w="709" w:type="dxa"/>
          </w:tcPr>
          <w:p w14:paraId="78310E8C" w14:textId="77777777" w:rsidR="007E30EF" w:rsidRDefault="007E30EF" w:rsidP="00127CD3">
            <w:pPr>
              <w:spacing w:line="276" w:lineRule="auto"/>
            </w:pPr>
            <w:r>
              <w:rPr>
                <w:lang w:val="en-US"/>
              </w:rPr>
              <w:t>1.19</w:t>
            </w:r>
          </w:p>
        </w:tc>
        <w:tc>
          <w:tcPr>
            <w:tcW w:w="709" w:type="dxa"/>
          </w:tcPr>
          <w:p w14:paraId="0D07FF15" w14:textId="77777777" w:rsidR="007E30EF" w:rsidRDefault="007E30EF" w:rsidP="00127CD3">
            <w:pPr>
              <w:spacing w:line="276" w:lineRule="auto"/>
            </w:pPr>
            <w:r>
              <w:t>32</w:t>
            </w:r>
          </w:p>
        </w:tc>
        <w:tc>
          <w:tcPr>
            <w:tcW w:w="1559" w:type="dxa"/>
          </w:tcPr>
          <w:p w14:paraId="06D1839A" w14:textId="77777777" w:rsidR="007E30EF" w:rsidRDefault="007E30EF" w:rsidP="00127CD3">
            <w:pPr>
              <w:spacing w:line="276" w:lineRule="auto"/>
            </w:pPr>
            <w:r>
              <w:t>.22 [.11, .32]</w:t>
            </w:r>
          </w:p>
        </w:tc>
        <w:tc>
          <w:tcPr>
            <w:tcW w:w="1482" w:type="dxa"/>
          </w:tcPr>
          <w:p w14:paraId="2EB25C8D" w14:textId="77777777" w:rsidR="007E30EF" w:rsidRDefault="007E30EF" w:rsidP="00127CD3">
            <w:pPr>
              <w:spacing w:line="276" w:lineRule="auto"/>
            </w:pPr>
            <w:r>
              <w:t>.13 [.07, .20]</w:t>
            </w:r>
          </w:p>
        </w:tc>
      </w:tr>
      <w:tr w:rsidR="007E30EF" w:rsidRPr="0052652D" w14:paraId="3321C662" w14:textId="77777777" w:rsidTr="00404903">
        <w:trPr>
          <w:trHeight w:val="283"/>
        </w:trPr>
        <w:tc>
          <w:tcPr>
            <w:tcW w:w="1701" w:type="dxa"/>
            <w:tcBorders>
              <w:bottom w:val="single" w:sz="4" w:space="0" w:color="auto"/>
            </w:tcBorders>
          </w:tcPr>
          <w:p w14:paraId="794A1467" w14:textId="0A0C45CE" w:rsidR="007E30EF" w:rsidRDefault="00247878" w:rsidP="00127CD3">
            <w:pPr>
              <w:spacing w:line="276" w:lineRule="auto"/>
            </w:pPr>
            <w:r>
              <w:t xml:space="preserve">     </w:t>
            </w:r>
            <w:r w:rsidR="007E30EF">
              <w:t>Emotion</w:t>
            </w:r>
          </w:p>
        </w:tc>
        <w:tc>
          <w:tcPr>
            <w:tcW w:w="2268" w:type="dxa"/>
            <w:tcBorders>
              <w:bottom w:val="single" w:sz="4" w:space="0" w:color="auto"/>
            </w:tcBorders>
          </w:tcPr>
          <w:p w14:paraId="29FD9EA4" w14:textId="77777777" w:rsidR="007E30EF" w:rsidRPr="00CE1444" w:rsidRDefault="007E30EF" w:rsidP="00127CD3">
            <w:pPr>
              <w:spacing w:line="276" w:lineRule="auto"/>
            </w:pPr>
            <w:r>
              <w:t>62.17</w:t>
            </w:r>
            <w:r w:rsidRPr="00CE1444">
              <w:t xml:space="preserve"> [</w:t>
            </w:r>
            <w:r>
              <w:t>56.47</w:t>
            </w:r>
            <w:r w:rsidRPr="00CE1444">
              <w:t xml:space="preserve">, </w:t>
            </w:r>
            <w:r>
              <w:t>67.87</w:t>
            </w:r>
            <w:r w:rsidRPr="00CE1444">
              <w:t>]</w:t>
            </w:r>
          </w:p>
        </w:tc>
        <w:tc>
          <w:tcPr>
            <w:tcW w:w="851" w:type="dxa"/>
            <w:tcBorders>
              <w:bottom w:val="single" w:sz="4" w:space="0" w:color="auto"/>
            </w:tcBorders>
          </w:tcPr>
          <w:p w14:paraId="01BBD0B9" w14:textId="77777777" w:rsidR="007E30EF" w:rsidRDefault="007E30EF" w:rsidP="00127CD3">
            <w:pPr>
              <w:spacing w:line="276" w:lineRule="auto"/>
            </w:pPr>
            <w:r>
              <w:rPr>
                <w:lang w:val="en-US"/>
              </w:rPr>
              <w:t>4.32</w:t>
            </w:r>
          </w:p>
        </w:tc>
        <w:tc>
          <w:tcPr>
            <w:tcW w:w="850" w:type="dxa"/>
            <w:tcBorders>
              <w:bottom w:val="single" w:sz="4" w:space="0" w:color="auto"/>
            </w:tcBorders>
          </w:tcPr>
          <w:p w14:paraId="1D430633" w14:textId="77777777" w:rsidR="007E30EF" w:rsidRDefault="007E30EF" w:rsidP="00127CD3">
            <w:pPr>
              <w:spacing w:line="276" w:lineRule="auto"/>
            </w:pPr>
            <w:r>
              <w:rPr>
                <w:lang w:val="en-US"/>
              </w:rPr>
              <w:t>&lt;.001</w:t>
            </w:r>
          </w:p>
        </w:tc>
        <w:tc>
          <w:tcPr>
            <w:tcW w:w="709" w:type="dxa"/>
            <w:tcBorders>
              <w:bottom w:val="single" w:sz="4" w:space="0" w:color="auto"/>
            </w:tcBorders>
          </w:tcPr>
          <w:p w14:paraId="2F51A6D3" w14:textId="77777777" w:rsidR="007E30EF" w:rsidRDefault="007E30EF" w:rsidP="00127CD3">
            <w:pPr>
              <w:spacing w:line="276" w:lineRule="auto"/>
            </w:pPr>
            <w:r>
              <w:rPr>
                <w:lang w:val="en-US"/>
              </w:rPr>
              <w:t>0.68</w:t>
            </w:r>
          </w:p>
        </w:tc>
        <w:tc>
          <w:tcPr>
            <w:tcW w:w="709" w:type="dxa"/>
            <w:tcBorders>
              <w:bottom w:val="single" w:sz="4" w:space="0" w:color="auto"/>
            </w:tcBorders>
          </w:tcPr>
          <w:p w14:paraId="6A79C464" w14:textId="77777777" w:rsidR="007E30EF" w:rsidRPr="0052652D" w:rsidRDefault="007E30EF" w:rsidP="00127CD3">
            <w:pPr>
              <w:spacing w:line="276" w:lineRule="auto"/>
            </w:pPr>
            <w:r>
              <w:t>29</w:t>
            </w:r>
          </w:p>
        </w:tc>
        <w:tc>
          <w:tcPr>
            <w:tcW w:w="1559" w:type="dxa"/>
            <w:tcBorders>
              <w:bottom w:val="single" w:sz="4" w:space="0" w:color="auto"/>
            </w:tcBorders>
          </w:tcPr>
          <w:p w14:paraId="5C702511" w14:textId="77777777" w:rsidR="007E30EF" w:rsidRPr="0052652D" w:rsidRDefault="007E30EF" w:rsidP="00127CD3">
            <w:pPr>
              <w:spacing w:line="276" w:lineRule="auto"/>
            </w:pPr>
            <w:r w:rsidRPr="0052652D">
              <w:t>.</w:t>
            </w:r>
            <w:r>
              <w:t>26</w:t>
            </w:r>
            <w:r w:rsidRPr="0052652D">
              <w:t xml:space="preserve"> [.</w:t>
            </w:r>
            <w:r>
              <w:t>14</w:t>
            </w:r>
            <w:r w:rsidRPr="0052652D">
              <w:t>, .</w:t>
            </w:r>
            <w:r>
              <w:t>38</w:t>
            </w:r>
            <w:r w:rsidRPr="0052652D">
              <w:t>]</w:t>
            </w:r>
          </w:p>
        </w:tc>
        <w:tc>
          <w:tcPr>
            <w:tcW w:w="1482" w:type="dxa"/>
            <w:tcBorders>
              <w:bottom w:val="single" w:sz="4" w:space="0" w:color="auto"/>
            </w:tcBorders>
          </w:tcPr>
          <w:p w14:paraId="554AD6DD" w14:textId="77777777" w:rsidR="007E30EF" w:rsidRPr="0052652D" w:rsidRDefault="007E30EF" w:rsidP="00127CD3">
            <w:pPr>
              <w:spacing w:line="276" w:lineRule="auto"/>
            </w:pPr>
            <w:r w:rsidRPr="0052652D">
              <w:t>.</w:t>
            </w:r>
            <w:r>
              <w:t>19</w:t>
            </w:r>
            <w:r w:rsidRPr="0052652D">
              <w:t xml:space="preserve"> [.</w:t>
            </w:r>
            <w:r>
              <w:t>11</w:t>
            </w:r>
            <w:r w:rsidRPr="0052652D">
              <w:t xml:space="preserve">, </w:t>
            </w:r>
            <w:r>
              <w:t>.26</w:t>
            </w:r>
            <w:r w:rsidRPr="0052652D">
              <w:t>]</w:t>
            </w:r>
          </w:p>
        </w:tc>
      </w:tr>
    </w:tbl>
    <w:p w14:paraId="39B9DC7A" w14:textId="77777777" w:rsidR="00CA28F7" w:rsidRDefault="00CA28F7" w:rsidP="00842F31"/>
    <w:p w14:paraId="0BF21BD1" w14:textId="6AE04B69" w:rsidR="00842F31" w:rsidRDefault="00842F31" w:rsidP="00842F31">
      <w:r>
        <w:t>Table S2</w:t>
      </w:r>
    </w:p>
    <w:p w14:paraId="6221CE41" w14:textId="70DA65B2" w:rsidR="00842F31" w:rsidRDefault="00842F31" w:rsidP="00842F31">
      <w:pPr>
        <w:spacing w:line="276" w:lineRule="auto"/>
        <w:rPr>
          <w:rFonts w:cs="Times New Roman"/>
          <w:i/>
        </w:rPr>
      </w:pPr>
      <w:r>
        <w:rPr>
          <w:i/>
        </w:rPr>
        <w:t>C</w:t>
      </w:r>
      <w:r w:rsidRPr="00220BB8">
        <w:rPr>
          <w:i/>
        </w:rPr>
        <w:t>orrelations between</w:t>
      </w:r>
      <w:r>
        <w:rPr>
          <w:i/>
        </w:rPr>
        <w:t xml:space="preserve"> tasks with and without controlling for age. Accuracy data is correlated using Pearson r, while model fit estimates are correlated using Spearman’s </w:t>
      </w:r>
      <w:r w:rsidRPr="00994CFC">
        <w:rPr>
          <w:rFonts w:cs="Times New Roman"/>
          <w:i/>
        </w:rPr>
        <w:sym w:font="Symbol" w:char="F072"/>
      </w:r>
      <w:r>
        <w:rPr>
          <w:rFonts w:cs="Times New Roman"/>
          <w:i/>
        </w:rPr>
        <w:t>. Correlations controlling for age are shown in brackets.</w:t>
      </w:r>
    </w:p>
    <w:p w14:paraId="79575398" w14:textId="77777777" w:rsidR="00842F31" w:rsidRPr="00220BB8" w:rsidRDefault="00842F31" w:rsidP="00842F31">
      <w:pPr>
        <w:spacing w:line="276" w:lineRule="auto"/>
        <w:rPr>
          <w:i/>
        </w:rPr>
      </w:pPr>
    </w:p>
    <w:tbl>
      <w:tblPr>
        <w:tblStyle w:val="TableGrid"/>
        <w:tblW w:w="9823" w:type="dxa"/>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1"/>
        <w:gridCol w:w="1843"/>
        <w:gridCol w:w="1842"/>
        <w:gridCol w:w="1276"/>
        <w:gridCol w:w="1701"/>
      </w:tblGrid>
      <w:tr w:rsidR="00CA28F7" w:rsidRPr="008338FE" w14:paraId="3395A5C8" w14:textId="77777777" w:rsidTr="008C2851">
        <w:tc>
          <w:tcPr>
            <w:tcW w:w="3161" w:type="dxa"/>
            <w:tcBorders>
              <w:top w:val="single" w:sz="4" w:space="0" w:color="auto"/>
            </w:tcBorders>
          </w:tcPr>
          <w:p w14:paraId="053A28FD" w14:textId="77777777" w:rsidR="00CA28F7" w:rsidRPr="008338FE" w:rsidRDefault="00CA28F7" w:rsidP="00127CD3">
            <w:pPr>
              <w:spacing w:line="276" w:lineRule="auto"/>
              <w:rPr>
                <w:rFonts w:cs="Times New Roman"/>
              </w:rPr>
            </w:pPr>
          </w:p>
        </w:tc>
        <w:tc>
          <w:tcPr>
            <w:tcW w:w="3685" w:type="dxa"/>
            <w:gridSpan w:val="2"/>
            <w:tcBorders>
              <w:top w:val="single" w:sz="4" w:space="0" w:color="auto"/>
            </w:tcBorders>
          </w:tcPr>
          <w:p w14:paraId="23432B88" w14:textId="77777777" w:rsidR="00CA28F7" w:rsidRPr="00F51686" w:rsidRDefault="00CA28F7" w:rsidP="00CA28F7">
            <w:pPr>
              <w:spacing w:line="276" w:lineRule="auto"/>
              <w:jc w:val="center"/>
              <w:rPr>
                <w:rFonts w:cs="Times New Roman"/>
                <w:i/>
              </w:rPr>
            </w:pPr>
            <w:r w:rsidRPr="008338FE">
              <w:rPr>
                <w:rFonts w:cs="Times New Roman"/>
              </w:rPr>
              <w:t>Accuracy</w:t>
            </w:r>
            <w:r>
              <w:rPr>
                <w:rFonts w:cs="Times New Roman"/>
              </w:rPr>
              <w:t xml:space="preserve"> (</w:t>
            </w:r>
            <w:r w:rsidRPr="00CE1444">
              <w:rPr>
                <w:rFonts w:cs="Times New Roman"/>
                <w:i/>
              </w:rPr>
              <w:t>r</w:t>
            </w:r>
            <w:r>
              <w:rPr>
                <w:rFonts w:cs="Times New Roman"/>
              </w:rPr>
              <w:t>)</w:t>
            </w:r>
          </w:p>
        </w:tc>
        <w:tc>
          <w:tcPr>
            <w:tcW w:w="2977" w:type="dxa"/>
            <w:gridSpan w:val="2"/>
            <w:tcBorders>
              <w:top w:val="single" w:sz="4" w:space="0" w:color="auto"/>
            </w:tcBorders>
          </w:tcPr>
          <w:p w14:paraId="7EBCFF28" w14:textId="5B783527" w:rsidR="00CA28F7" w:rsidRPr="008338FE" w:rsidRDefault="00CA28F7" w:rsidP="00CA28F7">
            <w:pPr>
              <w:spacing w:line="276" w:lineRule="auto"/>
              <w:jc w:val="center"/>
              <w:rPr>
                <w:rFonts w:cs="Times New Roman"/>
              </w:rPr>
            </w:pPr>
            <w:r w:rsidRPr="00F51686">
              <w:rPr>
                <w:rFonts w:cs="Times New Roman"/>
                <w:i/>
              </w:rPr>
              <w:t>w</w:t>
            </w:r>
            <w:r>
              <w:rPr>
                <w:rFonts w:cs="Times New Roman"/>
              </w:rPr>
              <w:t xml:space="preserve"> (</w:t>
            </w:r>
            <w:r>
              <w:rPr>
                <w:rFonts w:cs="Times New Roman"/>
              </w:rPr>
              <w:sym w:font="Symbol" w:char="F072"/>
            </w:r>
            <w:r>
              <w:rPr>
                <w:rFonts w:cs="Times New Roman"/>
              </w:rPr>
              <w:t>)</w:t>
            </w:r>
          </w:p>
        </w:tc>
      </w:tr>
      <w:tr w:rsidR="00CA28F7" w:rsidRPr="008338FE" w14:paraId="133EA1D1" w14:textId="77777777" w:rsidTr="008C2851">
        <w:tc>
          <w:tcPr>
            <w:tcW w:w="3161" w:type="dxa"/>
            <w:tcBorders>
              <w:bottom w:val="single" w:sz="4" w:space="0" w:color="auto"/>
            </w:tcBorders>
          </w:tcPr>
          <w:p w14:paraId="0F05B410" w14:textId="77777777" w:rsidR="00CA28F7" w:rsidRPr="008338FE" w:rsidRDefault="00CA28F7" w:rsidP="00127CD3">
            <w:pPr>
              <w:spacing w:line="276" w:lineRule="auto"/>
              <w:rPr>
                <w:rFonts w:cs="Times New Roman"/>
              </w:rPr>
            </w:pPr>
          </w:p>
        </w:tc>
        <w:tc>
          <w:tcPr>
            <w:tcW w:w="1843" w:type="dxa"/>
            <w:tcBorders>
              <w:bottom w:val="single" w:sz="4" w:space="0" w:color="auto"/>
            </w:tcBorders>
          </w:tcPr>
          <w:p w14:paraId="68D98B73" w14:textId="77777777" w:rsidR="00CA28F7" w:rsidRPr="008338FE" w:rsidRDefault="00CA28F7" w:rsidP="00CA28F7">
            <w:pPr>
              <w:spacing w:line="276" w:lineRule="auto"/>
              <w:jc w:val="center"/>
              <w:rPr>
                <w:rFonts w:cs="Times New Roman"/>
              </w:rPr>
            </w:pPr>
            <w:r w:rsidRPr="008338FE">
              <w:rPr>
                <w:rFonts w:cs="Times New Roman"/>
              </w:rPr>
              <w:t>Area</w:t>
            </w:r>
          </w:p>
        </w:tc>
        <w:tc>
          <w:tcPr>
            <w:tcW w:w="1842" w:type="dxa"/>
            <w:tcBorders>
              <w:bottom w:val="single" w:sz="4" w:space="0" w:color="auto"/>
            </w:tcBorders>
          </w:tcPr>
          <w:p w14:paraId="7CC7991C" w14:textId="77777777" w:rsidR="00CA28F7" w:rsidRPr="008338FE" w:rsidRDefault="00CA28F7" w:rsidP="00CA28F7">
            <w:pPr>
              <w:spacing w:line="276" w:lineRule="auto"/>
              <w:jc w:val="center"/>
              <w:rPr>
                <w:rFonts w:cs="Times New Roman"/>
              </w:rPr>
            </w:pPr>
            <w:r w:rsidRPr="008338FE">
              <w:rPr>
                <w:rFonts w:cs="Times New Roman"/>
              </w:rPr>
              <w:t>Emotion</w:t>
            </w:r>
          </w:p>
        </w:tc>
        <w:tc>
          <w:tcPr>
            <w:tcW w:w="1276" w:type="dxa"/>
            <w:tcBorders>
              <w:bottom w:val="single" w:sz="4" w:space="0" w:color="auto"/>
            </w:tcBorders>
          </w:tcPr>
          <w:p w14:paraId="5E511E98" w14:textId="77777777" w:rsidR="00CA28F7" w:rsidRPr="008338FE" w:rsidRDefault="00CA28F7" w:rsidP="00CA28F7">
            <w:pPr>
              <w:spacing w:line="276" w:lineRule="auto"/>
              <w:jc w:val="center"/>
              <w:rPr>
                <w:rFonts w:cs="Times New Roman"/>
              </w:rPr>
            </w:pPr>
            <w:r w:rsidRPr="008338FE">
              <w:rPr>
                <w:rFonts w:cs="Times New Roman"/>
              </w:rPr>
              <w:t>Area</w:t>
            </w:r>
          </w:p>
        </w:tc>
        <w:tc>
          <w:tcPr>
            <w:tcW w:w="1701" w:type="dxa"/>
            <w:tcBorders>
              <w:bottom w:val="single" w:sz="4" w:space="0" w:color="auto"/>
            </w:tcBorders>
          </w:tcPr>
          <w:p w14:paraId="690F83C2" w14:textId="77777777" w:rsidR="00CA28F7" w:rsidRPr="008338FE" w:rsidRDefault="00CA28F7" w:rsidP="00CA28F7">
            <w:pPr>
              <w:spacing w:line="276" w:lineRule="auto"/>
              <w:jc w:val="center"/>
              <w:rPr>
                <w:rFonts w:cs="Times New Roman"/>
              </w:rPr>
            </w:pPr>
            <w:r w:rsidRPr="008338FE">
              <w:rPr>
                <w:rFonts w:cs="Times New Roman"/>
              </w:rPr>
              <w:t>Emotion</w:t>
            </w:r>
          </w:p>
        </w:tc>
      </w:tr>
      <w:tr w:rsidR="00CA28F7" w:rsidRPr="0043221C" w14:paraId="0E33B172" w14:textId="77777777" w:rsidTr="008C2851">
        <w:tc>
          <w:tcPr>
            <w:tcW w:w="5004" w:type="dxa"/>
            <w:gridSpan w:val="2"/>
          </w:tcPr>
          <w:p w14:paraId="34DD5B87" w14:textId="4905FFAF" w:rsidR="00CA28F7" w:rsidRDefault="00561856" w:rsidP="00127CD3">
            <w:pPr>
              <w:spacing w:line="276" w:lineRule="auto"/>
              <w:rPr>
                <w:rFonts w:cs="Times New Roman"/>
              </w:rPr>
            </w:pPr>
            <w:r>
              <w:rPr>
                <w:rFonts w:cs="Times New Roman"/>
              </w:rPr>
              <w:t>Non-Inverted</w:t>
            </w:r>
            <w:r w:rsidR="00CA28F7">
              <w:rPr>
                <w:rFonts w:cs="Times New Roman"/>
              </w:rPr>
              <w:t xml:space="preserve"> </w:t>
            </w:r>
            <w:r>
              <w:rPr>
                <w:rFonts w:cs="Times New Roman"/>
              </w:rPr>
              <w:t xml:space="preserve">Model </w:t>
            </w:r>
            <w:r w:rsidR="00CA28F7">
              <w:rPr>
                <w:rFonts w:cs="Times New Roman"/>
              </w:rPr>
              <w:t>Confidence Analysis</w:t>
            </w:r>
          </w:p>
        </w:tc>
        <w:tc>
          <w:tcPr>
            <w:tcW w:w="1842" w:type="dxa"/>
          </w:tcPr>
          <w:p w14:paraId="2B0D13B3" w14:textId="77777777" w:rsidR="00CA28F7" w:rsidRPr="0043221C" w:rsidRDefault="00CA28F7" w:rsidP="00127CD3">
            <w:pPr>
              <w:spacing w:line="276" w:lineRule="auto"/>
              <w:rPr>
                <w:rFonts w:cs="Times New Roman"/>
              </w:rPr>
            </w:pPr>
          </w:p>
        </w:tc>
        <w:tc>
          <w:tcPr>
            <w:tcW w:w="1276" w:type="dxa"/>
          </w:tcPr>
          <w:p w14:paraId="5459D337" w14:textId="77777777" w:rsidR="00CA28F7" w:rsidRDefault="00CA28F7" w:rsidP="00127CD3">
            <w:pPr>
              <w:spacing w:line="276" w:lineRule="auto"/>
              <w:rPr>
                <w:rFonts w:cs="Times New Roman"/>
              </w:rPr>
            </w:pPr>
          </w:p>
        </w:tc>
        <w:tc>
          <w:tcPr>
            <w:tcW w:w="1701" w:type="dxa"/>
          </w:tcPr>
          <w:p w14:paraId="1508D081" w14:textId="77777777" w:rsidR="00CA28F7" w:rsidRPr="0043221C" w:rsidRDefault="00CA28F7" w:rsidP="00127CD3">
            <w:pPr>
              <w:spacing w:line="276" w:lineRule="auto"/>
              <w:rPr>
                <w:rFonts w:cs="Times New Roman"/>
              </w:rPr>
            </w:pPr>
          </w:p>
        </w:tc>
      </w:tr>
      <w:tr w:rsidR="00CA28F7" w:rsidRPr="0043221C" w14:paraId="59C25F3C" w14:textId="77777777" w:rsidTr="008C2851">
        <w:tc>
          <w:tcPr>
            <w:tcW w:w="3161" w:type="dxa"/>
          </w:tcPr>
          <w:p w14:paraId="3041EB0B" w14:textId="3E496D53" w:rsidR="00CA28F7" w:rsidRPr="008338FE" w:rsidRDefault="00CA28F7" w:rsidP="00127CD3">
            <w:pPr>
              <w:spacing w:line="276" w:lineRule="auto"/>
              <w:rPr>
                <w:rFonts w:cs="Times New Roman"/>
              </w:rPr>
            </w:pPr>
            <w:r>
              <w:rPr>
                <w:rFonts w:cs="Times New Roman"/>
              </w:rPr>
              <w:t xml:space="preserve">     </w:t>
            </w:r>
            <w:r w:rsidRPr="008338FE">
              <w:rPr>
                <w:rFonts w:cs="Times New Roman"/>
              </w:rPr>
              <w:t>Number</w:t>
            </w:r>
          </w:p>
        </w:tc>
        <w:tc>
          <w:tcPr>
            <w:tcW w:w="1843" w:type="dxa"/>
          </w:tcPr>
          <w:p w14:paraId="6BE2D132" w14:textId="51084651" w:rsidR="00CA28F7" w:rsidRPr="008338FE" w:rsidRDefault="00CA28F7" w:rsidP="00CA28F7">
            <w:pPr>
              <w:spacing w:line="276" w:lineRule="auto"/>
              <w:jc w:val="center"/>
              <w:rPr>
                <w:rFonts w:cs="Times New Roman"/>
              </w:rPr>
            </w:pPr>
            <w:r>
              <w:rPr>
                <w:rFonts w:cs="Times New Roman"/>
              </w:rPr>
              <w:t>.72</w:t>
            </w:r>
            <w:r w:rsidRPr="008338FE">
              <w:rPr>
                <w:rFonts w:cs="Times New Roman"/>
              </w:rPr>
              <w:t>**</w:t>
            </w:r>
            <w:r>
              <w:rPr>
                <w:rFonts w:cs="Times New Roman"/>
              </w:rPr>
              <w:t>* (.73***)</w:t>
            </w:r>
          </w:p>
        </w:tc>
        <w:tc>
          <w:tcPr>
            <w:tcW w:w="1842" w:type="dxa"/>
          </w:tcPr>
          <w:p w14:paraId="778060F3" w14:textId="050A94A9" w:rsidR="00CA28F7" w:rsidRPr="0043221C" w:rsidRDefault="00CA28F7" w:rsidP="00CA28F7">
            <w:pPr>
              <w:spacing w:line="276" w:lineRule="auto"/>
              <w:jc w:val="center"/>
              <w:rPr>
                <w:rFonts w:cs="Times New Roman"/>
              </w:rPr>
            </w:pPr>
            <w:r w:rsidRPr="0043221C">
              <w:rPr>
                <w:rFonts w:cs="Times New Roman"/>
              </w:rPr>
              <w:t>.</w:t>
            </w:r>
            <w:r>
              <w:rPr>
                <w:rFonts w:cs="Times New Roman"/>
              </w:rPr>
              <w:t>71</w:t>
            </w:r>
            <w:r w:rsidRPr="0043221C">
              <w:rPr>
                <w:rFonts w:cs="Times New Roman"/>
              </w:rPr>
              <w:t>***</w:t>
            </w:r>
            <w:r>
              <w:rPr>
                <w:rFonts w:cs="Times New Roman"/>
              </w:rPr>
              <w:t xml:space="preserve"> (.71***)</w:t>
            </w:r>
          </w:p>
        </w:tc>
        <w:tc>
          <w:tcPr>
            <w:tcW w:w="1276" w:type="dxa"/>
          </w:tcPr>
          <w:p w14:paraId="1B9E1820" w14:textId="47B4D2B8" w:rsidR="00CA28F7" w:rsidRPr="008338FE" w:rsidRDefault="00CA28F7" w:rsidP="00CA28F7">
            <w:pPr>
              <w:spacing w:line="276" w:lineRule="auto"/>
              <w:jc w:val="center"/>
              <w:rPr>
                <w:rFonts w:cs="Times New Roman"/>
              </w:rPr>
            </w:pPr>
            <w:r>
              <w:rPr>
                <w:rFonts w:cs="Times New Roman"/>
              </w:rPr>
              <w:t>.06 (.06)</w:t>
            </w:r>
          </w:p>
        </w:tc>
        <w:tc>
          <w:tcPr>
            <w:tcW w:w="1701" w:type="dxa"/>
          </w:tcPr>
          <w:p w14:paraId="1B10420B" w14:textId="0645D8E7" w:rsidR="00CA28F7" w:rsidRPr="0043221C" w:rsidRDefault="00CA28F7" w:rsidP="00CA28F7">
            <w:pPr>
              <w:spacing w:line="276" w:lineRule="auto"/>
              <w:jc w:val="center"/>
              <w:rPr>
                <w:rFonts w:cs="Times New Roman"/>
              </w:rPr>
            </w:pPr>
            <w:r w:rsidRPr="0043221C">
              <w:rPr>
                <w:rFonts w:cs="Times New Roman"/>
              </w:rPr>
              <w:t>.</w:t>
            </w:r>
            <w:r>
              <w:rPr>
                <w:rFonts w:cs="Times New Roman"/>
              </w:rPr>
              <w:t>60</w:t>
            </w:r>
            <w:r w:rsidRPr="0043221C">
              <w:rPr>
                <w:rFonts w:cs="Times New Roman"/>
              </w:rPr>
              <w:t>**</w:t>
            </w:r>
            <w:r>
              <w:rPr>
                <w:rFonts w:cs="Times New Roman"/>
              </w:rPr>
              <w:t>* (.61**)</w:t>
            </w:r>
          </w:p>
        </w:tc>
      </w:tr>
      <w:tr w:rsidR="00CA28F7" w:rsidRPr="0043221C" w14:paraId="74B949C7" w14:textId="77777777" w:rsidTr="008C2851">
        <w:tc>
          <w:tcPr>
            <w:tcW w:w="3161" w:type="dxa"/>
            <w:tcBorders>
              <w:bottom w:val="single" w:sz="4" w:space="0" w:color="auto"/>
            </w:tcBorders>
          </w:tcPr>
          <w:p w14:paraId="10CC6654" w14:textId="6E859640" w:rsidR="00CA28F7" w:rsidRPr="008338FE" w:rsidRDefault="00CA28F7" w:rsidP="00127CD3">
            <w:pPr>
              <w:spacing w:line="276" w:lineRule="auto"/>
              <w:rPr>
                <w:rFonts w:cs="Times New Roman"/>
              </w:rPr>
            </w:pPr>
            <w:r>
              <w:rPr>
                <w:rFonts w:cs="Times New Roman"/>
              </w:rPr>
              <w:t xml:space="preserve">     </w:t>
            </w:r>
            <w:r w:rsidRPr="008338FE">
              <w:rPr>
                <w:rFonts w:cs="Times New Roman"/>
              </w:rPr>
              <w:t>Area</w:t>
            </w:r>
          </w:p>
        </w:tc>
        <w:tc>
          <w:tcPr>
            <w:tcW w:w="1843" w:type="dxa"/>
            <w:tcBorders>
              <w:bottom w:val="single" w:sz="4" w:space="0" w:color="auto"/>
            </w:tcBorders>
          </w:tcPr>
          <w:p w14:paraId="0C7E5CB7" w14:textId="77777777" w:rsidR="00CA28F7" w:rsidRPr="008338FE" w:rsidRDefault="00CA28F7" w:rsidP="00CA28F7">
            <w:pPr>
              <w:spacing w:line="276" w:lineRule="auto"/>
              <w:jc w:val="center"/>
              <w:rPr>
                <w:rFonts w:cs="Times New Roman"/>
              </w:rPr>
            </w:pPr>
          </w:p>
        </w:tc>
        <w:tc>
          <w:tcPr>
            <w:tcW w:w="1842" w:type="dxa"/>
            <w:tcBorders>
              <w:bottom w:val="single" w:sz="4" w:space="0" w:color="auto"/>
            </w:tcBorders>
          </w:tcPr>
          <w:p w14:paraId="66B794CC" w14:textId="55194582" w:rsidR="00CA28F7" w:rsidRPr="0043221C" w:rsidRDefault="00CA28F7" w:rsidP="00CA28F7">
            <w:pPr>
              <w:spacing w:line="276" w:lineRule="auto"/>
              <w:jc w:val="center"/>
              <w:rPr>
                <w:rFonts w:cs="Times New Roman"/>
              </w:rPr>
            </w:pPr>
            <w:r>
              <w:rPr>
                <w:rFonts w:cs="Times New Roman"/>
              </w:rPr>
              <w:t>.62</w:t>
            </w:r>
            <w:r w:rsidRPr="0043221C">
              <w:rPr>
                <w:rFonts w:cs="Times New Roman"/>
              </w:rPr>
              <w:t>**</w:t>
            </w:r>
            <w:r>
              <w:rPr>
                <w:rFonts w:cs="Times New Roman"/>
              </w:rPr>
              <w:t>* (.62***)</w:t>
            </w:r>
          </w:p>
        </w:tc>
        <w:tc>
          <w:tcPr>
            <w:tcW w:w="1276" w:type="dxa"/>
            <w:tcBorders>
              <w:bottom w:val="single" w:sz="4" w:space="0" w:color="auto"/>
            </w:tcBorders>
          </w:tcPr>
          <w:p w14:paraId="19365750" w14:textId="77777777" w:rsidR="00CA28F7" w:rsidRPr="008338FE" w:rsidRDefault="00CA28F7" w:rsidP="00CA28F7">
            <w:pPr>
              <w:spacing w:line="276" w:lineRule="auto"/>
              <w:jc w:val="center"/>
              <w:rPr>
                <w:rFonts w:cs="Times New Roman"/>
              </w:rPr>
            </w:pPr>
          </w:p>
        </w:tc>
        <w:tc>
          <w:tcPr>
            <w:tcW w:w="1701" w:type="dxa"/>
            <w:tcBorders>
              <w:bottom w:val="single" w:sz="4" w:space="0" w:color="auto"/>
            </w:tcBorders>
          </w:tcPr>
          <w:p w14:paraId="54C06A42" w14:textId="7FB6B4AF" w:rsidR="00CA28F7" w:rsidRPr="0043221C" w:rsidRDefault="00CA28F7" w:rsidP="00CA28F7">
            <w:pPr>
              <w:spacing w:line="276" w:lineRule="auto"/>
              <w:jc w:val="center"/>
              <w:rPr>
                <w:rFonts w:cs="Times New Roman"/>
              </w:rPr>
            </w:pPr>
            <w:r>
              <w:rPr>
                <w:rFonts w:cs="Times New Roman"/>
              </w:rPr>
              <w:t>.22 (.24)</w:t>
            </w:r>
          </w:p>
        </w:tc>
      </w:tr>
    </w:tbl>
    <w:p w14:paraId="0CDC56A2" w14:textId="61B6ACB2" w:rsidR="00CA28F7" w:rsidRDefault="00842F31" w:rsidP="007E30EF">
      <w:r>
        <w:t xml:space="preserve"> </w:t>
      </w:r>
      <w:proofErr w:type="gramStart"/>
      <w:r>
        <w:t xml:space="preserve">^  </w:t>
      </w:r>
      <w:r w:rsidRPr="00CE1444">
        <w:rPr>
          <w:i/>
        </w:rPr>
        <w:t>p</w:t>
      </w:r>
      <w:proofErr w:type="gramEnd"/>
      <w:r>
        <w:t xml:space="preserve"> &lt; .10, * </w:t>
      </w:r>
      <w:r w:rsidRPr="00CE1444">
        <w:rPr>
          <w:i/>
        </w:rPr>
        <w:t>p</w:t>
      </w:r>
      <w:r>
        <w:t xml:space="preserve"> &lt; .05, ** </w:t>
      </w:r>
      <w:r w:rsidRPr="00CE1444">
        <w:rPr>
          <w:i/>
        </w:rPr>
        <w:t>p</w:t>
      </w:r>
      <w:r>
        <w:t xml:space="preserve"> &lt; .01, *** </w:t>
      </w:r>
      <w:r w:rsidRPr="00CE1444">
        <w:rPr>
          <w:i/>
        </w:rPr>
        <w:t>p</w:t>
      </w:r>
      <w:r>
        <w:t xml:space="preserve"> &lt; .001</w:t>
      </w:r>
    </w:p>
    <w:p w14:paraId="78637A69" w14:textId="750646F0" w:rsidR="007E30EF" w:rsidRPr="00CA28F7" w:rsidRDefault="007E30EF" w:rsidP="007E30EF">
      <w:r w:rsidRPr="002565E3">
        <w:rPr>
          <w:lang w:val="en-US"/>
        </w:rPr>
        <w:t xml:space="preserve">Table </w:t>
      </w:r>
      <w:r>
        <w:rPr>
          <w:lang w:val="en-US"/>
        </w:rPr>
        <w:t>S</w:t>
      </w:r>
      <w:r w:rsidR="00842F31">
        <w:rPr>
          <w:lang w:val="en-US"/>
        </w:rPr>
        <w:t>3</w:t>
      </w:r>
    </w:p>
    <w:p w14:paraId="1B5C00CA" w14:textId="3447FBCB" w:rsidR="007E30EF" w:rsidRPr="00CE1444" w:rsidRDefault="007E30EF" w:rsidP="007E30EF">
      <w:pPr>
        <w:rPr>
          <w:i/>
          <w:lang w:val="en-US"/>
        </w:rPr>
      </w:pPr>
      <w:r w:rsidRPr="00CE1444">
        <w:rPr>
          <w:i/>
          <w:lang w:val="en-US"/>
        </w:rPr>
        <w:t>Factor loadings of measures by dimension</w:t>
      </w:r>
      <w:r w:rsidR="00850944">
        <w:rPr>
          <w:i/>
          <w:lang w:val="en-US"/>
        </w:rPr>
        <w:t>.</w:t>
      </w:r>
    </w:p>
    <w:tbl>
      <w:tblPr>
        <w:tblStyle w:val="TableGrid"/>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410"/>
      </w:tblGrid>
      <w:tr w:rsidR="00750258" w14:paraId="1EA91427" w14:textId="77777777" w:rsidTr="00F92681">
        <w:tc>
          <w:tcPr>
            <w:tcW w:w="2410" w:type="dxa"/>
            <w:tcBorders>
              <w:top w:val="single" w:sz="4" w:space="0" w:color="auto"/>
              <w:bottom w:val="single" w:sz="4" w:space="0" w:color="auto"/>
            </w:tcBorders>
          </w:tcPr>
          <w:p w14:paraId="5417DD75" w14:textId="77777777" w:rsidR="00750258" w:rsidRDefault="00750258" w:rsidP="00A95333">
            <w:pPr>
              <w:spacing w:line="276" w:lineRule="auto"/>
              <w:rPr>
                <w:lang w:val="en-US"/>
              </w:rPr>
            </w:pPr>
          </w:p>
        </w:tc>
        <w:tc>
          <w:tcPr>
            <w:tcW w:w="2410" w:type="dxa"/>
            <w:tcBorders>
              <w:top w:val="single" w:sz="4" w:space="0" w:color="auto"/>
              <w:bottom w:val="single" w:sz="4" w:space="0" w:color="auto"/>
            </w:tcBorders>
          </w:tcPr>
          <w:p w14:paraId="0590CA2F" w14:textId="6AF2B281" w:rsidR="00750258" w:rsidRDefault="00750258" w:rsidP="00A95333">
            <w:pPr>
              <w:spacing w:line="276" w:lineRule="auto"/>
              <w:jc w:val="center"/>
              <w:rPr>
                <w:lang w:val="en-US"/>
              </w:rPr>
            </w:pPr>
            <w:r>
              <w:rPr>
                <w:lang w:val="en-US"/>
              </w:rPr>
              <w:t>Non-Inverted Model Confidence Analysis</w:t>
            </w:r>
          </w:p>
        </w:tc>
      </w:tr>
      <w:tr w:rsidR="00750258" w14:paraId="714CBE32" w14:textId="5B51B286" w:rsidTr="00F92681">
        <w:tc>
          <w:tcPr>
            <w:tcW w:w="2410" w:type="dxa"/>
            <w:tcBorders>
              <w:top w:val="single" w:sz="4" w:space="0" w:color="auto"/>
              <w:bottom w:val="single" w:sz="4" w:space="0" w:color="auto"/>
            </w:tcBorders>
          </w:tcPr>
          <w:p w14:paraId="214CBCF7" w14:textId="77777777" w:rsidR="00750258" w:rsidRDefault="00750258" w:rsidP="00A95333">
            <w:pPr>
              <w:spacing w:line="276" w:lineRule="auto"/>
              <w:rPr>
                <w:lang w:val="en-US"/>
              </w:rPr>
            </w:pPr>
            <w:r>
              <w:rPr>
                <w:lang w:val="en-US"/>
              </w:rPr>
              <w:t>Measure</w:t>
            </w:r>
          </w:p>
        </w:tc>
        <w:tc>
          <w:tcPr>
            <w:tcW w:w="2410" w:type="dxa"/>
            <w:tcBorders>
              <w:top w:val="single" w:sz="4" w:space="0" w:color="auto"/>
              <w:bottom w:val="single" w:sz="4" w:space="0" w:color="auto"/>
            </w:tcBorders>
          </w:tcPr>
          <w:p w14:paraId="683AA45B" w14:textId="061ABF69" w:rsidR="00750258" w:rsidRDefault="00750258" w:rsidP="00A95333">
            <w:pPr>
              <w:spacing w:line="276" w:lineRule="auto"/>
              <w:jc w:val="center"/>
              <w:rPr>
                <w:lang w:val="en-US"/>
              </w:rPr>
            </w:pPr>
            <w:r>
              <w:rPr>
                <w:lang w:val="en-US"/>
              </w:rPr>
              <w:t>Component 1</w:t>
            </w:r>
          </w:p>
        </w:tc>
      </w:tr>
      <w:tr w:rsidR="00750258" w14:paraId="61FE168E" w14:textId="21329E3D" w:rsidTr="00F92681">
        <w:tc>
          <w:tcPr>
            <w:tcW w:w="2410" w:type="dxa"/>
          </w:tcPr>
          <w:p w14:paraId="13DBAE93" w14:textId="2B195BD6" w:rsidR="00750258" w:rsidRDefault="00F92681" w:rsidP="001C48DF">
            <w:pPr>
              <w:spacing w:line="276" w:lineRule="auto"/>
              <w:rPr>
                <w:lang w:val="en-US"/>
              </w:rPr>
            </w:pPr>
            <w:r>
              <w:rPr>
                <w:lang w:val="en-US"/>
              </w:rPr>
              <w:t>Number</w:t>
            </w:r>
          </w:p>
        </w:tc>
        <w:tc>
          <w:tcPr>
            <w:tcW w:w="2410" w:type="dxa"/>
          </w:tcPr>
          <w:p w14:paraId="2DED4295" w14:textId="373718B4" w:rsidR="00750258" w:rsidRDefault="00750258" w:rsidP="001C48DF">
            <w:pPr>
              <w:spacing w:line="276" w:lineRule="auto"/>
              <w:jc w:val="center"/>
              <w:rPr>
                <w:lang w:val="en-US"/>
              </w:rPr>
            </w:pPr>
            <w:r>
              <w:rPr>
                <w:lang w:val="en-US"/>
              </w:rPr>
              <w:t>.916</w:t>
            </w:r>
          </w:p>
        </w:tc>
      </w:tr>
      <w:tr w:rsidR="00750258" w14:paraId="29E8CBBF" w14:textId="10DB7108" w:rsidTr="00F92681">
        <w:tc>
          <w:tcPr>
            <w:tcW w:w="2410" w:type="dxa"/>
          </w:tcPr>
          <w:p w14:paraId="1378DBE4" w14:textId="60112776" w:rsidR="00750258" w:rsidRDefault="00F92681" w:rsidP="001C48DF">
            <w:pPr>
              <w:spacing w:line="276" w:lineRule="auto"/>
              <w:rPr>
                <w:lang w:val="en-US"/>
              </w:rPr>
            </w:pPr>
            <w:r>
              <w:rPr>
                <w:lang w:val="en-US"/>
              </w:rPr>
              <w:t>Area</w:t>
            </w:r>
          </w:p>
        </w:tc>
        <w:tc>
          <w:tcPr>
            <w:tcW w:w="2410" w:type="dxa"/>
          </w:tcPr>
          <w:p w14:paraId="4D8C03CA" w14:textId="12DFC85C" w:rsidR="00750258" w:rsidRDefault="00750258" w:rsidP="001C48DF">
            <w:pPr>
              <w:spacing w:line="276" w:lineRule="auto"/>
              <w:jc w:val="center"/>
              <w:rPr>
                <w:lang w:val="en-US"/>
              </w:rPr>
            </w:pPr>
            <w:r>
              <w:rPr>
                <w:lang w:val="en-US"/>
              </w:rPr>
              <w:t>.876</w:t>
            </w:r>
          </w:p>
        </w:tc>
      </w:tr>
      <w:tr w:rsidR="00750258" w14:paraId="1A12E88B" w14:textId="2CBF7B3E" w:rsidTr="00F92681">
        <w:tc>
          <w:tcPr>
            <w:tcW w:w="2410" w:type="dxa"/>
          </w:tcPr>
          <w:p w14:paraId="0EF99590" w14:textId="51D56130" w:rsidR="00750258" w:rsidRDefault="00F92681" w:rsidP="001C48DF">
            <w:pPr>
              <w:spacing w:line="276" w:lineRule="auto"/>
              <w:rPr>
                <w:lang w:val="en-US"/>
              </w:rPr>
            </w:pPr>
            <w:r>
              <w:rPr>
                <w:lang w:val="en-US"/>
              </w:rPr>
              <w:t>Emotion</w:t>
            </w:r>
          </w:p>
        </w:tc>
        <w:tc>
          <w:tcPr>
            <w:tcW w:w="2410" w:type="dxa"/>
          </w:tcPr>
          <w:p w14:paraId="48E7CEA4" w14:textId="5CDBC04A" w:rsidR="00750258" w:rsidRDefault="00750258" w:rsidP="001C48DF">
            <w:pPr>
              <w:spacing w:line="276" w:lineRule="auto"/>
              <w:jc w:val="center"/>
              <w:rPr>
                <w:lang w:val="en-US"/>
              </w:rPr>
            </w:pPr>
            <w:r>
              <w:rPr>
                <w:lang w:val="en-US"/>
              </w:rPr>
              <w:t>.872</w:t>
            </w:r>
          </w:p>
        </w:tc>
      </w:tr>
      <w:tr w:rsidR="00750258" w14:paraId="7670870A" w14:textId="21B447CB" w:rsidTr="00F92681">
        <w:tc>
          <w:tcPr>
            <w:tcW w:w="2410" w:type="dxa"/>
          </w:tcPr>
          <w:p w14:paraId="4533BE05" w14:textId="77777777" w:rsidR="00750258" w:rsidRDefault="00750258" w:rsidP="001C48DF">
            <w:pPr>
              <w:spacing w:line="276" w:lineRule="auto"/>
              <w:rPr>
                <w:lang w:val="en-US"/>
              </w:rPr>
            </w:pPr>
            <w:r>
              <w:rPr>
                <w:lang w:val="en-US"/>
              </w:rPr>
              <w:t>Eigenvalue</w:t>
            </w:r>
          </w:p>
        </w:tc>
        <w:tc>
          <w:tcPr>
            <w:tcW w:w="2410" w:type="dxa"/>
          </w:tcPr>
          <w:p w14:paraId="1C33081F" w14:textId="73C228C5" w:rsidR="00750258" w:rsidRDefault="00750258" w:rsidP="001C48DF">
            <w:pPr>
              <w:spacing w:line="276" w:lineRule="auto"/>
              <w:jc w:val="center"/>
              <w:rPr>
                <w:lang w:val="en-US"/>
              </w:rPr>
            </w:pPr>
            <w:r>
              <w:rPr>
                <w:lang w:val="en-US"/>
              </w:rPr>
              <w:t>2.37</w:t>
            </w:r>
          </w:p>
        </w:tc>
      </w:tr>
      <w:tr w:rsidR="00750258" w14:paraId="2678D062" w14:textId="6CCB4AC7" w:rsidTr="00F92681">
        <w:tc>
          <w:tcPr>
            <w:tcW w:w="2410" w:type="dxa"/>
            <w:tcBorders>
              <w:bottom w:val="single" w:sz="4" w:space="0" w:color="auto"/>
            </w:tcBorders>
          </w:tcPr>
          <w:p w14:paraId="55F9854A" w14:textId="77777777" w:rsidR="00750258" w:rsidRDefault="00750258" w:rsidP="001C48DF">
            <w:pPr>
              <w:spacing w:line="276" w:lineRule="auto"/>
              <w:rPr>
                <w:lang w:val="en-US"/>
              </w:rPr>
            </w:pPr>
            <w:r>
              <w:rPr>
                <w:lang w:val="en-US"/>
              </w:rPr>
              <w:t>Variance Explained</w:t>
            </w:r>
          </w:p>
        </w:tc>
        <w:tc>
          <w:tcPr>
            <w:tcW w:w="2410" w:type="dxa"/>
            <w:tcBorders>
              <w:bottom w:val="single" w:sz="4" w:space="0" w:color="auto"/>
            </w:tcBorders>
          </w:tcPr>
          <w:p w14:paraId="4E009300" w14:textId="7AA2F0C5" w:rsidR="00750258" w:rsidRDefault="00750258" w:rsidP="001C48DF">
            <w:pPr>
              <w:spacing w:line="276" w:lineRule="auto"/>
              <w:jc w:val="center"/>
              <w:rPr>
                <w:lang w:val="en-US"/>
              </w:rPr>
            </w:pPr>
            <w:r>
              <w:rPr>
                <w:lang w:val="en-US"/>
              </w:rPr>
              <w:t>79%</w:t>
            </w:r>
          </w:p>
        </w:tc>
      </w:tr>
    </w:tbl>
    <w:p w14:paraId="0877DC84" w14:textId="0C787ECE" w:rsidR="00850944" w:rsidRDefault="00850944" w:rsidP="0043513F">
      <w:pPr>
        <w:pStyle w:val="Heading2"/>
        <w:rPr>
          <w:b w:val="0"/>
          <w:i/>
        </w:rPr>
      </w:pPr>
      <w:r w:rsidRPr="00850944">
        <w:rPr>
          <w:b w:val="0"/>
          <w:i/>
        </w:rPr>
        <w:t>Note: Lower w values indicate better precision.</w:t>
      </w:r>
    </w:p>
    <w:p w14:paraId="05A55505" w14:textId="77777777" w:rsidR="00850944" w:rsidRPr="00850944" w:rsidRDefault="00850944" w:rsidP="00850944"/>
    <w:p w14:paraId="59F5AF93" w14:textId="6FC161C9" w:rsidR="00850944" w:rsidRPr="00850944" w:rsidRDefault="00850944" w:rsidP="0043513F">
      <w:pPr>
        <w:pStyle w:val="Heading2"/>
      </w:pPr>
      <w:r w:rsidRPr="00850944">
        <w:lastRenderedPageBreak/>
        <w:t>Additional Confidence Analyses</w:t>
      </w:r>
    </w:p>
    <w:p w14:paraId="72F2E8CB" w14:textId="42DAAB98" w:rsidR="002112F2" w:rsidRPr="00322473" w:rsidRDefault="002112F2" w:rsidP="00850944">
      <w:pPr>
        <w:pStyle w:val="Heading2"/>
        <w:ind w:firstLine="720"/>
        <w:rPr>
          <w:b w:val="0"/>
        </w:rPr>
      </w:pPr>
      <w:r>
        <w:rPr>
          <w:b w:val="0"/>
        </w:rPr>
        <w:t xml:space="preserve">As described in the main text, we found that while </w:t>
      </w:r>
      <w:r w:rsidR="007E30EF">
        <w:rPr>
          <w:b w:val="0"/>
        </w:rPr>
        <w:t>most</w:t>
      </w:r>
      <w:r>
        <w:rPr>
          <w:b w:val="0"/>
        </w:rPr>
        <w:t xml:space="preserve"> children showed a clear pattern of selecting the easier of the two ratios on our relative Confidence task, 10 out of the 40 children showed the opposite pattern</w:t>
      </w:r>
      <w:r w:rsidR="00322473">
        <w:rPr>
          <w:b w:val="0"/>
        </w:rPr>
        <w:t xml:space="preserve"> on at least one dimension</w:t>
      </w:r>
      <w:r>
        <w:rPr>
          <w:b w:val="0"/>
        </w:rPr>
        <w:t>, choosing the harder of the two ratios. While some of these children did communicate to us that they were doing this to challenge themselves, not all did. Nevertheless, given that these 10 children were consistently choosing the more difficult trials, we felt justified in using a</w:t>
      </w:r>
      <w:r w:rsidR="00322473">
        <w:rPr>
          <w:b w:val="0"/>
        </w:rPr>
        <w:t>n</w:t>
      </w:r>
      <w:r>
        <w:rPr>
          <w:b w:val="0"/>
        </w:rPr>
        <w:t xml:space="preserve"> inverted confidence model for their data, counting the harder trials as accurate and the easier trials as inaccurate. Here, we report on all of the analyses from the Confidence task without modelling these 10 children’s data by using a reverse model, and instead treating their data as consistent with the typical model that states that children will seek to maximize performance by selecting the easier trials. </w:t>
      </w:r>
    </w:p>
    <w:p w14:paraId="0A0EC7C4" w14:textId="2475A2E4" w:rsidR="0043513F" w:rsidRDefault="008A3EA5" w:rsidP="0043513F">
      <w:pPr>
        <w:ind w:firstLine="720"/>
        <w:rPr>
          <w:lang w:val="en-US"/>
        </w:rPr>
      </w:pPr>
      <w:r>
        <w:t>Using the same model for all 40 participants,</w:t>
      </w:r>
      <w:r w:rsidR="002112F2">
        <w:t xml:space="preserve"> children </w:t>
      </w:r>
      <w:r w:rsidR="00FC59CE">
        <w:t>in the Confidence condition</w:t>
      </w:r>
      <w:r w:rsidR="0043513F">
        <w:t xml:space="preserve"> </w:t>
      </w:r>
      <w:r w:rsidR="002112F2">
        <w:t xml:space="preserve">still </w:t>
      </w:r>
      <w:r w:rsidR="0043513F">
        <w:t xml:space="preserve">performed above chance for all three dimensions (Table </w:t>
      </w:r>
      <w:r w:rsidR="006E4E14">
        <w:t>S</w:t>
      </w:r>
      <w:r w:rsidR="0043513F">
        <w:t xml:space="preserve">1), choosing the easier of the two trials on 70% of trials </w:t>
      </w:r>
      <w:r w:rsidR="0043513F">
        <w:rPr>
          <w:lang w:val="en-US"/>
        </w:rPr>
        <w:t xml:space="preserve">(95% </w:t>
      </w:r>
      <w:proofErr w:type="gramStart"/>
      <w:r w:rsidR="0043513F">
        <w:rPr>
          <w:lang w:val="en-US"/>
        </w:rPr>
        <w:t>CI[</w:t>
      </w:r>
      <w:proofErr w:type="gramEnd"/>
      <w:r w:rsidR="0043513F">
        <w:rPr>
          <w:lang w:val="en-US"/>
        </w:rPr>
        <w:t xml:space="preserve">63.90, 75.77], </w:t>
      </w:r>
      <w:r w:rsidR="0043513F" w:rsidRPr="00167745">
        <w:rPr>
          <w:i/>
          <w:lang w:val="en-US"/>
        </w:rPr>
        <w:t>t</w:t>
      </w:r>
      <w:r w:rsidR="0043513F">
        <w:rPr>
          <w:lang w:val="en-US"/>
        </w:rPr>
        <w:t xml:space="preserve">(39) = 6.76, </w:t>
      </w:r>
      <w:r w:rsidR="0043513F" w:rsidRPr="00167745">
        <w:rPr>
          <w:i/>
          <w:lang w:val="en-US"/>
        </w:rPr>
        <w:t>p</w:t>
      </w:r>
      <w:r w:rsidR="0043513F">
        <w:rPr>
          <w:lang w:val="en-US"/>
        </w:rPr>
        <w:t xml:space="preserve"> &lt; .001, </w:t>
      </w:r>
      <w:r w:rsidR="0043513F" w:rsidRPr="00167745">
        <w:rPr>
          <w:i/>
          <w:lang w:val="en-US"/>
        </w:rPr>
        <w:t>d</w:t>
      </w:r>
      <w:r w:rsidR="0043513F">
        <w:rPr>
          <w:lang w:val="en-US"/>
        </w:rPr>
        <w:t xml:space="preserve"> =1.07)</w:t>
      </w:r>
      <w:r w:rsidR="002112F2">
        <w:rPr>
          <w:lang w:val="en-US"/>
        </w:rPr>
        <w:t xml:space="preserve">. We again </w:t>
      </w:r>
      <w:r w:rsidR="0043513F">
        <w:rPr>
          <w:lang w:val="en-US"/>
        </w:rPr>
        <w:t xml:space="preserve">found that children were best on the Area trials and worst on the Emotion trials, </w:t>
      </w:r>
      <w:proofErr w:type="gramStart"/>
      <w:r w:rsidR="0043513F">
        <w:rPr>
          <w:i/>
          <w:lang w:val="en-US"/>
        </w:rPr>
        <w:t>F</w:t>
      </w:r>
      <w:r w:rsidR="0043513F">
        <w:rPr>
          <w:lang w:val="en-US"/>
        </w:rPr>
        <w:t>(</w:t>
      </w:r>
      <w:proofErr w:type="gramEnd"/>
      <w:r w:rsidR="0043513F">
        <w:rPr>
          <w:lang w:val="en-US"/>
        </w:rPr>
        <w:t xml:space="preserve">2, 78) = 16.04, </w:t>
      </w:r>
      <w:r w:rsidR="0043513F">
        <w:rPr>
          <w:i/>
          <w:lang w:val="en-US"/>
        </w:rPr>
        <w:t>p</w:t>
      </w:r>
      <w:r w:rsidR="0043513F">
        <w:rPr>
          <w:lang w:val="en-US"/>
        </w:rPr>
        <w:t xml:space="preserve"> &lt; .001, </w:t>
      </w:r>
      <w:r w:rsidR="0043513F" w:rsidRPr="001119F1">
        <w:sym w:font="Symbol" w:char="F068"/>
      </w:r>
      <w:r w:rsidR="0043513F" w:rsidRPr="00FE0918">
        <w:rPr>
          <w:vertAlign w:val="subscript"/>
        </w:rPr>
        <w:t>p</w:t>
      </w:r>
      <w:r w:rsidR="0043513F" w:rsidRPr="001119F1">
        <w:rPr>
          <w:vertAlign w:val="superscript"/>
        </w:rPr>
        <w:t>2</w:t>
      </w:r>
      <w:r w:rsidR="0043513F">
        <w:t xml:space="preserve"> = .29</w:t>
      </w:r>
      <w:r w:rsidR="0043513F">
        <w:rPr>
          <w:lang w:val="en-US"/>
        </w:rPr>
        <w:t xml:space="preserve">. </w:t>
      </w:r>
      <w:r w:rsidR="002112F2">
        <w:rPr>
          <w:lang w:val="en-US"/>
        </w:rPr>
        <w:t>Finally</w:t>
      </w:r>
      <w:r w:rsidR="0043513F">
        <w:rPr>
          <w:lang w:val="en-US"/>
        </w:rPr>
        <w:t xml:space="preserve">, we </w:t>
      </w:r>
      <w:r w:rsidR="002112F2">
        <w:rPr>
          <w:lang w:val="en-US"/>
        </w:rPr>
        <w:t xml:space="preserve">once again </w:t>
      </w:r>
      <w:r w:rsidR="0043513F">
        <w:rPr>
          <w:lang w:val="en-US"/>
        </w:rPr>
        <w:t xml:space="preserve">found no correlations between accuracy and age, all </w:t>
      </w:r>
      <w:r w:rsidR="0043513F">
        <w:rPr>
          <w:i/>
          <w:lang w:val="en-US"/>
        </w:rPr>
        <w:t>r</w:t>
      </w:r>
      <w:r w:rsidR="0043513F">
        <w:rPr>
          <w:lang w:val="en-US"/>
        </w:rPr>
        <w:t>’s &lt; .13, potentially due to our restricted range.</w:t>
      </w:r>
    </w:p>
    <w:p w14:paraId="74125668" w14:textId="0A5A90E5" w:rsidR="0043513F" w:rsidRDefault="002112F2" w:rsidP="0043513F">
      <w:pPr>
        <w:ind w:firstLine="720"/>
        <w:rPr>
          <w:lang w:val="en-US"/>
        </w:rPr>
      </w:pPr>
      <w:r>
        <w:rPr>
          <w:lang w:val="en-US"/>
        </w:rPr>
        <w:t>We also found the same metaratio effects</w:t>
      </w:r>
      <w:r w:rsidR="007E30EF">
        <w:rPr>
          <w:lang w:val="en-US"/>
        </w:rPr>
        <w:t>:</w:t>
      </w:r>
      <w:r>
        <w:rPr>
          <w:lang w:val="en-US"/>
        </w:rPr>
        <w:t xml:space="preserve"> children were more likely to </w:t>
      </w:r>
      <w:r w:rsidR="0043513F">
        <w:rPr>
          <w:lang w:val="en-US"/>
        </w:rPr>
        <w:t>choose the easier question when the metaratio was higher</w:t>
      </w:r>
      <w:r>
        <w:rPr>
          <w:lang w:val="en-US"/>
        </w:rPr>
        <w:t xml:space="preserve"> in the Number task</w:t>
      </w:r>
      <w:r w:rsidR="0043513F">
        <w:rPr>
          <w:lang w:val="en-US"/>
        </w:rPr>
        <w:t>,</w:t>
      </w:r>
      <w:r>
        <w:rPr>
          <w:lang w:val="en-US"/>
        </w:rPr>
        <w:t xml:space="preserve"> (</w:t>
      </w:r>
      <w:r w:rsidR="0043513F">
        <w:rPr>
          <w:i/>
          <w:lang w:val="en-US"/>
        </w:rPr>
        <w:t>F</w:t>
      </w:r>
      <w:r w:rsidR="0043513F">
        <w:rPr>
          <w:lang w:val="en-US"/>
        </w:rPr>
        <w:t>(2, 78) = 4.74,</w:t>
      </w:r>
      <w:r w:rsidR="0043513F" w:rsidRPr="000D0FCC">
        <w:rPr>
          <w:lang w:val="en-US"/>
        </w:rPr>
        <w:t xml:space="preserve"> </w:t>
      </w:r>
      <w:r w:rsidR="0043513F" w:rsidRPr="00CE1444">
        <w:rPr>
          <w:i/>
          <w:lang w:val="en-US"/>
        </w:rPr>
        <w:t>p</w:t>
      </w:r>
      <w:r w:rsidR="0043513F">
        <w:rPr>
          <w:lang w:val="en-US"/>
        </w:rPr>
        <w:t xml:space="preserve"> = .011, </w:t>
      </w:r>
      <w:r w:rsidR="0043513F" w:rsidRPr="001119F1">
        <w:sym w:font="Symbol" w:char="F068"/>
      </w:r>
      <w:r w:rsidR="0043513F" w:rsidRPr="00FE0918">
        <w:rPr>
          <w:vertAlign w:val="subscript"/>
        </w:rPr>
        <w:t>p</w:t>
      </w:r>
      <w:r w:rsidR="0043513F" w:rsidRPr="001119F1">
        <w:rPr>
          <w:vertAlign w:val="superscript"/>
        </w:rPr>
        <w:t>2</w:t>
      </w:r>
      <w:r w:rsidR="0043513F" w:rsidRPr="00652EA9">
        <w:t xml:space="preserve"> </w:t>
      </w:r>
      <w:r w:rsidR="0043513F">
        <w:rPr>
          <w:lang w:val="en-US"/>
        </w:rPr>
        <w:t xml:space="preserve"> = .11</w:t>
      </w:r>
      <w:r>
        <w:rPr>
          <w:lang w:val="en-US"/>
        </w:rPr>
        <w:t>), and the</w:t>
      </w:r>
      <w:r w:rsidR="0043513F">
        <w:rPr>
          <w:lang w:val="en-US"/>
        </w:rPr>
        <w:t xml:space="preserve"> Emotion</w:t>
      </w:r>
      <w:r>
        <w:rPr>
          <w:lang w:val="en-US"/>
        </w:rPr>
        <w:t xml:space="preserve"> task (</w:t>
      </w:r>
      <w:r w:rsidR="0043513F">
        <w:rPr>
          <w:i/>
          <w:lang w:val="en-US"/>
        </w:rPr>
        <w:t>F</w:t>
      </w:r>
      <w:r w:rsidR="0043513F">
        <w:rPr>
          <w:lang w:val="en-US"/>
        </w:rPr>
        <w:t xml:space="preserve">(2, 78) = 9.27, </w:t>
      </w:r>
      <w:r w:rsidR="0043513F" w:rsidRPr="000D0FCC">
        <w:rPr>
          <w:i/>
          <w:lang w:val="en-US"/>
        </w:rPr>
        <w:t>p</w:t>
      </w:r>
      <w:r w:rsidR="0043513F">
        <w:rPr>
          <w:lang w:val="en-US"/>
        </w:rPr>
        <w:t xml:space="preserve"> &lt; .001, </w:t>
      </w:r>
      <w:r w:rsidR="0043513F" w:rsidRPr="001119F1">
        <w:sym w:font="Symbol" w:char="F068"/>
      </w:r>
      <w:r w:rsidR="0043513F" w:rsidRPr="00FE0918">
        <w:rPr>
          <w:vertAlign w:val="subscript"/>
        </w:rPr>
        <w:t>p</w:t>
      </w:r>
      <w:r w:rsidR="0043513F" w:rsidRPr="001119F1">
        <w:rPr>
          <w:vertAlign w:val="superscript"/>
        </w:rPr>
        <w:t>2</w:t>
      </w:r>
      <w:r w:rsidR="0043513F" w:rsidRPr="00652EA9">
        <w:t xml:space="preserve"> </w:t>
      </w:r>
      <w:r w:rsidR="0043513F">
        <w:t xml:space="preserve"> </w:t>
      </w:r>
      <w:r w:rsidR="0043513F">
        <w:rPr>
          <w:lang w:val="en-US"/>
        </w:rPr>
        <w:t>= .19</w:t>
      </w:r>
      <w:r>
        <w:rPr>
          <w:lang w:val="en-US"/>
        </w:rPr>
        <w:t>)</w:t>
      </w:r>
      <w:r w:rsidR="0043513F">
        <w:rPr>
          <w:lang w:val="en-US"/>
        </w:rPr>
        <w:t xml:space="preserve">, </w:t>
      </w:r>
      <w:r>
        <w:rPr>
          <w:lang w:val="en-US"/>
        </w:rPr>
        <w:t>but not the</w:t>
      </w:r>
      <w:r w:rsidR="007C66E5">
        <w:rPr>
          <w:lang w:val="en-US"/>
        </w:rPr>
        <w:t xml:space="preserve"> Area</w:t>
      </w:r>
      <w:r>
        <w:rPr>
          <w:lang w:val="en-US"/>
        </w:rPr>
        <w:t xml:space="preserve"> task (</w:t>
      </w:r>
      <w:r w:rsidR="007C66E5" w:rsidRPr="000D0FCC">
        <w:rPr>
          <w:i/>
          <w:lang w:val="en-US"/>
        </w:rPr>
        <w:t>F</w:t>
      </w:r>
      <w:r w:rsidR="007C66E5">
        <w:rPr>
          <w:lang w:val="en-US"/>
        </w:rPr>
        <w:t xml:space="preserve">(1.59, 61.90) = 1.91 </w:t>
      </w:r>
      <w:r w:rsidR="007C66E5" w:rsidRPr="000D0FCC">
        <w:rPr>
          <w:i/>
          <w:lang w:val="en-US"/>
        </w:rPr>
        <w:t>p</w:t>
      </w:r>
      <w:r w:rsidR="007C66E5">
        <w:rPr>
          <w:lang w:val="en-US"/>
        </w:rPr>
        <w:t xml:space="preserve"> = .155, </w:t>
      </w:r>
      <w:r w:rsidR="007C66E5" w:rsidRPr="001119F1">
        <w:sym w:font="Symbol" w:char="F068"/>
      </w:r>
      <w:r w:rsidR="007C66E5" w:rsidRPr="00FE0918">
        <w:rPr>
          <w:vertAlign w:val="subscript"/>
        </w:rPr>
        <w:t>p</w:t>
      </w:r>
      <w:r w:rsidR="007C66E5" w:rsidRPr="001119F1">
        <w:rPr>
          <w:vertAlign w:val="superscript"/>
        </w:rPr>
        <w:t>2</w:t>
      </w:r>
      <w:r w:rsidR="007C66E5" w:rsidRPr="00652EA9">
        <w:t xml:space="preserve"> </w:t>
      </w:r>
      <w:r w:rsidR="007C66E5">
        <w:t xml:space="preserve"> </w:t>
      </w:r>
      <w:r w:rsidR="007C66E5">
        <w:rPr>
          <w:lang w:val="en-US"/>
        </w:rPr>
        <w:t>= .05</w:t>
      </w:r>
      <w:r>
        <w:rPr>
          <w:lang w:val="en-US"/>
        </w:rPr>
        <w:t xml:space="preserve">). This lack of effect, however, appears to be stemming from </w:t>
      </w:r>
      <w:r w:rsidR="00322473">
        <w:rPr>
          <w:lang w:val="en-US"/>
        </w:rPr>
        <w:t xml:space="preserve">extremely good performance at all tested </w:t>
      </w:r>
      <w:proofErr w:type="spellStart"/>
      <w:r w:rsidR="00322473">
        <w:rPr>
          <w:lang w:val="en-US"/>
        </w:rPr>
        <w:t>metaratios</w:t>
      </w:r>
      <w:proofErr w:type="spellEnd"/>
      <w:r w:rsidR="00322473">
        <w:rPr>
          <w:lang w:val="en-US"/>
        </w:rPr>
        <w:t xml:space="preserve"> in the Area task (Figure S1b), suggesting that this model does not adequately fit children’s data in this dimension.</w:t>
      </w:r>
    </w:p>
    <w:p w14:paraId="7E89DA6D" w14:textId="56BB6C7D" w:rsidR="0043513F" w:rsidRDefault="002112F2" w:rsidP="00200D78">
      <w:pPr>
        <w:ind w:firstLine="720"/>
        <w:rPr>
          <w:lang w:val="en-US"/>
        </w:rPr>
      </w:pPr>
      <w:r>
        <w:rPr>
          <w:lang w:val="en-US"/>
        </w:rPr>
        <w:lastRenderedPageBreak/>
        <w:t>We successfully fit</w:t>
      </w:r>
      <w:r w:rsidR="00200D78">
        <w:rPr>
          <w:lang w:val="en-US"/>
        </w:rPr>
        <w:t xml:space="preserve"> all three dimensions for</w:t>
      </w:r>
      <w:r>
        <w:rPr>
          <w:lang w:val="en-US"/>
        </w:rPr>
        <w:t xml:space="preserve"> </w:t>
      </w:r>
      <w:r w:rsidR="00322473">
        <w:rPr>
          <w:lang w:val="en-US"/>
        </w:rPr>
        <w:t xml:space="preserve">22 children on the standard psychophysical model that assumes that children select the easier of the two trials with increasing </w:t>
      </w:r>
      <w:proofErr w:type="spellStart"/>
      <w:r w:rsidR="00322473">
        <w:rPr>
          <w:lang w:val="en-US"/>
        </w:rPr>
        <w:t>metaratios</w:t>
      </w:r>
      <w:proofErr w:type="spellEnd"/>
      <w:r w:rsidR="00322473">
        <w:rPr>
          <w:lang w:val="en-US"/>
        </w:rPr>
        <w:t xml:space="preserve">. </w:t>
      </w:r>
      <w:r w:rsidR="00200D78">
        <w:rPr>
          <w:lang w:val="en-US"/>
        </w:rPr>
        <w:t xml:space="preserve">A total of 36 children could be fit on two of the three dimensions. Eight of these children were not fit </w:t>
      </w:r>
      <w:r w:rsidR="00561856">
        <w:rPr>
          <w:lang w:val="en-US"/>
        </w:rPr>
        <w:t>by any</w:t>
      </w:r>
      <w:r w:rsidR="00BA3D95">
        <w:rPr>
          <w:lang w:val="en-US"/>
        </w:rPr>
        <w:t xml:space="preserve"> </w:t>
      </w:r>
      <w:r w:rsidR="00200D78">
        <w:rPr>
          <w:lang w:val="en-US"/>
        </w:rPr>
        <w:t xml:space="preserve">model (as reported in the </w:t>
      </w:r>
      <w:r w:rsidR="00BA3D95">
        <w:rPr>
          <w:lang w:val="en-US"/>
        </w:rPr>
        <w:t>M</w:t>
      </w:r>
      <w:r w:rsidR="00200D78">
        <w:rPr>
          <w:lang w:val="en-US"/>
        </w:rPr>
        <w:t xml:space="preserve">ain </w:t>
      </w:r>
      <w:r w:rsidR="00BA3D95">
        <w:rPr>
          <w:lang w:val="en-US"/>
        </w:rPr>
        <w:t>T</w:t>
      </w:r>
      <w:r w:rsidR="00200D78">
        <w:rPr>
          <w:lang w:val="en-US"/>
        </w:rPr>
        <w:t xml:space="preserve">ext), while 10 were fit to the </w:t>
      </w:r>
      <w:r w:rsidR="00BA3D95">
        <w:rPr>
          <w:lang w:val="en-US"/>
        </w:rPr>
        <w:t xml:space="preserve">inverted </w:t>
      </w:r>
      <w:r w:rsidR="00200D78">
        <w:rPr>
          <w:lang w:val="en-US"/>
        </w:rPr>
        <w:t xml:space="preserve">model and thus excluded from the following analyses. Data from all fit dimensions is included where applicable, and accuracy data for all children is retained even if there is no model fit. </w:t>
      </w:r>
      <w:r w:rsidR="0043513F">
        <w:rPr>
          <w:lang w:val="en-US"/>
        </w:rPr>
        <w:t xml:space="preserve">The fit </w:t>
      </w:r>
      <w:r w:rsidR="0043513F">
        <w:rPr>
          <w:i/>
          <w:lang w:val="en-US"/>
        </w:rPr>
        <w:t xml:space="preserve">w </w:t>
      </w:r>
      <w:r w:rsidR="0043513F">
        <w:rPr>
          <w:lang w:val="en-US"/>
        </w:rPr>
        <w:t xml:space="preserve">data is presented in Table </w:t>
      </w:r>
      <w:r w:rsidR="00903457">
        <w:rPr>
          <w:lang w:val="en-US"/>
        </w:rPr>
        <w:t>S1</w:t>
      </w:r>
      <w:r w:rsidR="0043513F">
        <w:rPr>
          <w:lang w:val="en-US"/>
        </w:rPr>
        <w:t>.</w:t>
      </w:r>
      <w:r w:rsidR="00E71501">
        <w:rPr>
          <w:lang w:val="en-US"/>
        </w:rPr>
        <w:t xml:space="preserve"> Note that, as a result of this, </w:t>
      </w:r>
      <w:r w:rsidR="00200D78">
        <w:rPr>
          <w:lang w:val="en-US"/>
        </w:rPr>
        <w:t>many analyses using</w:t>
      </w:r>
      <w:r w:rsidR="00E71501">
        <w:rPr>
          <w:lang w:val="en-US"/>
        </w:rPr>
        <w:t xml:space="preserve"> </w:t>
      </w:r>
      <w:r w:rsidR="00E71501">
        <w:rPr>
          <w:i/>
          <w:lang w:val="en-US"/>
        </w:rPr>
        <w:t xml:space="preserve">w </w:t>
      </w:r>
      <w:r w:rsidR="00E71501">
        <w:rPr>
          <w:lang w:val="en-US"/>
        </w:rPr>
        <w:t xml:space="preserve">estimates are comprised of </w:t>
      </w:r>
      <w:r w:rsidR="00200D78">
        <w:rPr>
          <w:lang w:val="en-US"/>
        </w:rPr>
        <w:t>a smaller</w:t>
      </w:r>
      <w:r w:rsidR="00E71501">
        <w:rPr>
          <w:lang w:val="en-US"/>
        </w:rPr>
        <w:t xml:space="preserve"> sample (</w:t>
      </w:r>
      <w:r w:rsidR="00200D78">
        <w:rPr>
          <w:lang w:val="en-US"/>
        </w:rPr>
        <w:t xml:space="preserve">as low as </w:t>
      </w:r>
      <w:r w:rsidR="00E71501">
        <w:rPr>
          <w:lang w:val="en-US"/>
        </w:rPr>
        <w:t>22 out of 40 children</w:t>
      </w:r>
      <w:r w:rsidR="00200D78">
        <w:rPr>
          <w:lang w:val="en-US"/>
        </w:rPr>
        <w:t xml:space="preserve"> for the factor analysis</w:t>
      </w:r>
      <w:r w:rsidR="00E71501">
        <w:rPr>
          <w:lang w:val="en-US"/>
        </w:rPr>
        <w:t>), potentially leading to a loss of statistical power</w:t>
      </w:r>
      <w:r w:rsidR="00200D78">
        <w:rPr>
          <w:lang w:val="en-US"/>
        </w:rPr>
        <w:t>.</w:t>
      </w:r>
    </w:p>
    <w:p w14:paraId="662EC540" w14:textId="67E0B4D8" w:rsidR="00842F31" w:rsidRDefault="00842F31" w:rsidP="00842F31">
      <w:pPr>
        <w:ind w:firstLine="720"/>
        <w:rPr>
          <w:lang w:val="en-US"/>
        </w:rPr>
      </w:pPr>
      <w:r>
        <w:rPr>
          <w:lang w:val="en-US"/>
        </w:rPr>
        <w:t xml:space="preserve">Finally, as shown in Table S2, we found correlations between Number, Area, and Emotion confidence discrimination for accuracy, replicating the domain-general effect even when all 40 children are assumed to have chosen the easier of the two trials. On the other hand, we found much weaker effects for </w:t>
      </w:r>
      <w:r>
        <w:rPr>
          <w:i/>
          <w:lang w:val="en-US"/>
        </w:rPr>
        <w:t xml:space="preserve">w, </w:t>
      </w:r>
      <w:r>
        <w:rPr>
          <w:lang w:val="en-US"/>
        </w:rPr>
        <w:t xml:space="preserve">possibly due to the ceiling effects in the Area task combined with the low sample size for the </w:t>
      </w:r>
      <w:r w:rsidR="00BA3D95">
        <w:rPr>
          <w:lang w:val="en-US"/>
        </w:rPr>
        <w:t xml:space="preserve">non-inverted </w:t>
      </w:r>
      <w:r>
        <w:rPr>
          <w:i/>
          <w:lang w:val="en-US"/>
        </w:rPr>
        <w:t xml:space="preserve">w </w:t>
      </w:r>
      <w:r>
        <w:rPr>
          <w:lang w:val="en-US"/>
        </w:rPr>
        <w:t xml:space="preserve">sample.  </w:t>
      </w:r>
    </w:p>
    <w:p w14:paraId="252F80AA" w14:textId="067BAFD5" w:rsidR="007C66E5" w:rsidRDefault="00255038" w:rsidP="001C48DF">
      <w:pPr>
        <w:ind w:firstLine="720"/>
        <w:rPr>
          <w:lang w:val="en-US"/>
        </w:rPr>
      </w:pPr>
      <w:r>
        <w:rPr>
          <w:b/>
          <w:i/>
          <w:lang w:val="en-US"/>
        </w:rPr>
        <w:t>Principal Component</w:t>
      </w:r>
      <w:r w:rsidR="0043513F" w:rsidRPr="00CE1444">
        <w:rPr>
          <w:b/>
          <w:i/>
          <w:lang w:val="en-US"/>
        </w:rPr>
        <w:t xml:space="preserve"> Analyses</w:t>
      </w:r>
      <w:r w:rsidR="0043513F" w:rsidRPr="00CE1444">
        <w:rPr>
          <w:b/>
          <w:lang w:val="en-US"/>
        </w:rPr>
        <w:t>.</w:t>
      </w:r>
      <w:r w:rsidR="0043513F">
        <w:rPr>
          <w:lang w:val="en-US"/>
        </w:rPr>
        <w:t xml:space="preserve"> </w:t>
      </w:r>
      <w:r w:rsidR="00A571A6">
        <w:rPr>
          <w:lang w:val="en-US"/>
        </w:rPr>
        <w:t xml:space="preserve">Because we could not estimate </w:t>
      </w:r>
      <w:r w:rsidR="00200D78">
        <w:rPr>
          <w:lang w:val="en-US"/>
        </w:rPr>
        <w:t xml:space="preserve">all three </w:t>
      </w:r>
      <w:proofErr w:type="spellStart"/>
      <w:r w:rsidR="00A571A6">
        <w:rPr>
          <w:i/>
          <w:lang w:val="en-US"/>
        </w:rPr>
        <w:t>w</w:t>
      </w:r>
      <w:r w:rsidR="00200D78">
        <w:rPr>
          <w:lang w:val="en-US"/>
        </w:rPr>
        <w:t>s</w:t>
      </w:r>
      <w:proofErr w:type="spellEnd"/>
      <w:r w:rsidR="00A571A6">
        <w:rPr>
          <w:i/>
          <w:lang w:val="en-US"/>
        </w:rPr>
        <w:t xml:space="preserve"> </w:t>
      </w:r>
      <w:r w:rsidR="00A571A6">
        <w:rPr>
          <w:lang w:val="en-US"/>
        </w:rPr>
        <w:t xml:space="preserve">for 18 children, our sample size for the </w:t>
      </w:r>
      <w:r>
        <w:rPr>
          <w:lang w:val="en-US"/>
        </w:rPr>
        <w:t xml:space="preserve">PCA </w:t>
      </w:r>
      <w:r w:rsidR="00A571A6">
        <w:rPr>
          <w:lang w:val="en-US"/>
        </w:rPr>
        <w:t xml:space="preserve">is very low. We therefore conducted a factor analysis over accuracy scores only, allowing us to use all 40 children in the sample. </w:t>
      </w:r>
      <w:r w:rsidR="007C66E5">
        <w:rPr>
          <w:lang w:val="en-US"/>
        </w:rPr>
        <w:t>As shown by</w:t>
      </w:r>
      <w:r w:rsidR="004D7FD3">
        <w:rPr>
          <w:lang w:val="en-US"/>
        </w:rPr>
        <w:t xml:space="preserve"> the factor loadings in Table S</w:t>
      </w:r>
      <w:r w:rsidR="001C48DF">
        <w:rPr>
          <w:lang w:val="en-US"/>
        </w:rPr>
        <w:t>3</w:t>
      </w:r>
      <w:r w:rsidR="007C66E5">
        <w:rPr>
          <w:lang w:val="en-US"/>
        </w:rPr>
        <w:t xml:space="preserve">, </w:t>
      </w:r>
      <w:r w:rsidR="00A571A6">
        <w:rPr>
          <w:lang w:val="en-US"/>
        </w:rPr>
        <w:t>we replicated the effect in the Main Text and found a single factor underlies performance</w:t>
      </w:r>
      <w:r w:rsidR="001C48DF">
        <w:rPr>
          <w:lang w:val="en-US"/>
        </w:rPr>
        <w:t xml:space="preserve"> in all three Confidence tasks.</w:t>
      </w:r>
    </w:p>
    <w:p w14:paraId="1A15FC73" w14:textId="58827E19" w:rsidR="00255038" w:rsidRDefault="00255038" w:rsidP="00255038">
      <w:pPr>
        <w:rPr>
          <w:b/>
          <w:lang w:val="en-US"/>
        </w:rPr>
      </w:pPr>
      <w:r w:rsidRPr="00255038">
        <w:rPr>
          <w:b/>
          <w:lang w:val="en-US"/>
        </w:rPr>
        <w:t>Comparison of PCA Between Conditions</w:t>
      </w:r>
    </w:p>
    <w:p w14:paraId="52153081" w14:textId="53C3D053" w:rsidR="00255038" w:rsidRDefault="00255038" w:rsidP="00255038">
      <w:pPr>
        <w:ind w:firstLine="720"/>
        <w:rPr>
          <w:lang w:val="en-US"/>
        </w:rPr>
      </w:pPr>
      <w:r>
        <w:rPr>
          <w:lang w:val="en-US"/>
        </w:rPr>
        <w:t xml:space="preserve">An important question when evaluating the PCAs is whether the patterns of results in the Confidence and Discrimination conditions are meaningfully different. While we know of no way to directly compare the two </w:t>
      </w:r>
      <w:proofErr w:type="gramStart"/>
      <w:r>
        <w:rPr>
          <w:lang w:val="en-US"/>
        </w:rPr>
        <w:t>given</w:t>
      </w:r>
      <w:proofErr w:type="gramEnd"/>
      <w:r>
        <w:rPr>
          <w:lang w:val="en-US"/>
        </w:rPr>
        <w:t xml:space="preserve"> that the dependent variables are not identical, we adopted a </w:t>
      </w:r>
      <w:r>
        <w:rPr>
          <w:lang w:val="en-US"/>
        </w:rPr>
        <w:lastRenderedPageBreak/>
        <w:t xml:space="preserve">bootstrapping approach to generate distributions of each PCA </w:t>
      </w:r>
      <w:r w:rsidRPr="00255038">
        <w:rPr>
          <w:lang w:val="en-US"/>
        </w:rPr>
        <w:t>(</w:t>
      </w:r>
      <w:r>
        <w:rPr>
          <w:lang w:val="en-US"/>
        </w:rPr>
        <w:t>see</w:t>
      </w:r>
      <w:r w:rsidRPr="00255038">
        <w:rPr>
          <w:lang w:val="en-US"/>
        </w:rPr>
        <w:t xml:space="preserve"> </w:t>
      </w:r>
      <w:proofErr w:type="spellStart"/>
      <w:r w:rsidRPr="00255038">
        <w:rPr>
          <w:lang w:val="en-US"/>
        </w:rPr>
        <w:t>Babamoradi</w:t>
      </w:r>
      <w:proofErr w:type="spellEnd"/>
      <w:r w:rsidRPr="00255038">
        <w:rPr>
          <w:lang w:val="en-US"/>
        </w:rPr>
        <w:t xml:space="preserve">, van den Berg, &amp; </w:t>
      </w:r>
      <w:proofErr w:type="spellStart"/>
      <w:r w:rsidRPr="00255038">
        <w:rPr>
          <w:lang w:val="en-US"/>
        </w:rPr>
        <w:t>Rinnan</w:t>
      </w:r>
      <w:proofErr w:type="spellEnd"/>
      <w:r w:rsidRPr="00255038">
        <w:rPr>
          <w:lang w:val="en-US"/>
        </w:rPr>
        <w:t>, 2013)</w:t>
      </w:r>
      <w:r>
        <w:rPr>
          <w:rStyle w:val="FootnoteReference"/>
          <w:lang w:val="en-US"/>
        </w:rPr>
        <w:footnoteReference w:id="1"/>
      </w:r>
      <w:r>
        <w:rPr>
          <w:lang w:val="en-US"/>
        </w:rPr>
        <w:t>.</w:t>
      </w:r>
      <w:r w:rsidRPr="00255038">
        <w:rPr>
          <w:lang w:val="en-US"/>
        </w:rPr>
        <w:t xml:space="preserve"> </w:t>
      </w:r>
      <w:r>
        <w:rPr>
          <w:lang w:val="en-US"/>
        </w:rPr>
        <w:t>W</w:t>
      </w:r>
      <w:r w:rsidRPr="00255038">
        <w:rPr>
          <w:lang w:val="en-US"/>
        </w:rPr>
        <w:t>e conducted a non-parametric bootstrap with 10,000 samples (with replacement) on the PCAs in both conditions, testing whether the proportion of variance explained in the first component is different between the Discrimination and Confidence conditions. If the two PCAs generate a different number of factors, we should find that the 95% confidence intervals of the first component variance explained should not overlap. Consistent with this, we found that the 95</w:t>
      </w:r>
      <w:proofErr w:type="gramStart"/>
      <w:r w:rsidRPr="00255038">
        <w:rPr>
          <w:lang w:val="en-US"/>
        </w:rPr>
        <w:t>%  Bias</w:t>
      </w:r>
      <w:proofErr w:type="gramEnd"/>
      <w:r w:rsidRPr="00255038">
        <w:rPr>
          <w:lang w:val="en-US"/>
        </w:rPr>
        <w:t xml:space="preserve"> Corrected and Accelerated interval in the Discrimination condition [31.34, 35.88] did not overlap with the interval in the Confidence [55.75, 85.71], consistent with the two PCAs generating different number of factors for the two conditions</w:t>
      </w:r>
      <w:r>
        <w:rPr>
          <w:lang w:val="en-US"/>
        </w:rPr>
        <w:t>.</w:t>
      </w:r>
      <w:r w:rsidR="00115B3D">
        <w:rPr>
          <w:lang w:val="en-US"/>
        </w:rPr>
        <w:t xml:space="preserve"> A similar 95%</w:t>
      </w:r>
      <w:r w:rsidR="00115B3D" w:rsidRPr="00115B3D">
        <w:rPr>
          <w:lang w:val="en-US"/>
        </w:rPr>
        <w:t xml:space="preserve"> </w:t>
      </w:r>
      <w:r w:rsidR="00115B3D" w:rsidRPr="00255038">
        <w:rPr>
          <w:lang w:val="en-US"/>
        </w:rPr>
        <w:t>Bias Corrected and Accelerated</w:t>
      </w:r>
      <w:r w:rsidR="00115B3D">
        <w:rPr>
          <w:lang w:val="en-US"/>
        </w:rPr>
        <w:t xml:space="preserve"> interval was found in the Confidence condition using the non-inverted data [</w:t>
      </w:r>
      <w:r w:rsidR="00115B3D" w:rsidRPr="00115B3D">
        <w:rPr>
          <w:lang w:val="en-US"/>
        </w:rPr>
        <w:t>66</w:t>
      </w:r>
      <w:r w:rsidR="00115B3D">
        <w:rPr>
          <w:lang w:val="en-US"/>
        </w:rPr>
        <w:t>.</w:t>
      </w:r>
      <w:r w:rsidR="00115B3D" w:rsidRPr="00115B3D">
        <w:rPr>
          <w:lang w:val="en-US"/>
        </w:rPr>
        <w:t>52,  88</w:t>
      </w:r>
      <w:r w:rsidR="00115B3D">
        <w:rPr>
          <w:lang w:val="en-US"/>
        </w:rPr>
        <w:t>.</w:t>
      </w:r>
      <w:r w:rsidR="00115B3D" w:rsidRPr="00115B3D">
        <w:rPr>
          <w:lang w:val="en-US"/>
        </w:rPr>
        <w:t>78</w:t>
      </w:r>
      <w:r w:rsidR="00115B3D">
        <w:rPr>
          <w:lang w:val="en-US"/>
        </w:rPr>
        <w:t>].</w:t>
      </w:r>
    </w:p>
    <w:p w14:paraId="105B2663" w14:textId="13DC5904" w:rsidR="00255038" w:rsidRDefault="00255038" w:rsidP="00255038">
      <w:pPr>
        <w:ind w:firstLine="720"/>
        <w:rPr>
          <w:lang w:val="en-US"/>
        </w:rPr>
      </w:pPr>
    </w:p>
    <w:p w14:paraId="074FB903" w14:textId="6BB167C3" w:rsidR="00255038" w:rsidRDefault="00255038" w:rsidP="00255038">
      <w:pPr>
        <w:jc w:val="center"/>
        <w:rPr>
          <w:lang w:val="en-US"/>
        </w:rPr>
      </w:pPr>
      <w:r>
        <w:rPr>
          <w:lang w:val="en-US"/>
        </w:rPr>
        <w:t>References</w:t>
      </w:r>
    </w:p>
    <w:p w14:paraId="255A6D2D" w14:textId="28C7A7BC" w:rsidR="00255038" w:rsidRPr="0043513F" w:rsidRDefault="00255038" w:rsidP="00255038">
      <w:pPr>
        <w:ind w:firstLine="720"/>
        <w:rPr>
          <w:lang w:val="en-US"/>
        </w:rPr>
      </w:pPr>
      <w:proofErr w:type="spellStart"/>
      <w:r>
        <w:t>Babamoradi</w:t>
      </w:r>
      <w:proofErr w:type="spellEnd"/>
      <w:r>
        <w:t xml:space="preserve">, H., van den Berg, F., &amp; </w:t>
      </w:r>
      <w:proofErr w:type="spellStart"/>
      <w:r>
        <w:t>Rinnan</w:t>
      </w:r>
      <w:proofErr w:type="spellEnd"/>
      <w:r>
        <w:t xml:space="preserve">, Å. (2013). Bootstrap based confidence limits in principal component analysis—A case study. </w:t>
      </w:r>
      <w:r>
        <w:rPr>
          <w:i/>
          <w:iCs/>
        </w:rPr>
        <w:t>Chemometrics and Intelligent Laboratory Systems</w:t>
      </w:r>
      <w:r>
        <w:t xml:space="preserve">, </w:t>
      </w:r>
      <w:r>
        <w:rPr>
          <w:i/>
          <w:iCs/>
        </w:rPr>
        <w:t>120</w:t>
      </w:r>
      <w:r>
        <w:t>, 97-105.</w:t>
      </w:r>
    </w:p>
    <w:sectPr w:rsidR="00255038" w:rsidRPr="0043513F" w:rsidSect="004842D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61493" w14:textId="77777777" w:rsidR="002E2794" w:rsidRDefault="002E2794" w:rsidP="00842F31">
      <w:pPr>
        <w:spacing w:line="240" w:lineRule="auto"/>
      </w:pPr>
      <w:r>
        <w:separator/>
      </w:r>
    </w:p>
  </w:endnote>
  <w:endnote w:type="continuationSeparator" w:id="0">
    <w:p w14:paraId="46C06D54" w14:textId="77777777" w:rsidR="002E2794" w:rsidRDefault="002E2794" w:rsidP="00842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B27B6" w14:textId="77777777" w:rsidR="002E2794" w:rsidRDefault="002E2794" w:rsidP="00842F31">
      <w:pPr>
        <w:spacing w:line="240" w:lineRule="auto"/>
      </w:pPr>
      <w:r>
        <w:separator/>
      </w:r>
    </w:p>
  </w:footnote>
  <w:footnote w:type="continuationSeparator" w:id="0">
    <w:p w14:paraId="0BF555D1" w14:textId="77777777" w:rsidR="002E2794" w:rsidRDefault="002E2794" w:rsidP="00842F31">
      <w:pPr>
        <w:spacing w:line="240" w:lineRule="auto"/>
      </w:pPr>
      <w:r>
        <w:continuationSeparator/>
      </w:r>
    </w:p>
  </w:footnote>
  <w:footnote w:id="1">
    <w:p w14:paraId="30F1EFF7" w14:textId="5DC4B034" w:rsidR="00255038" w:rsidRDefault="00255038">
      <w:pPr>
        <w:pStyle w:val="FootnoteText"/>
      </w:pPr>
      <w:r>
        <w:rPr>
          <w:rStyle w:val="FootnoteReference"/>
        </w:rPr>
        <w:footnoteRef/>
      </w:r>
      <w:r>
        <w:t xml:space="preserve"> We thank an anonymous reviewer for suggesting this analysis.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C1510" w14:textId="30A7D07D" w:rsidR="00127CD3" w:rsidRDefault="00127CD3">
    <w:pPr>
      <w:pStyle w:val="Header"/>
      <w:jc w:val="right"/>
    </w:pPr>
    <w:r>
      <w:t xml:space="preserve"> CHILDREN’S DOMAIN-GENERAL CONFIDENCE     </w:t>
    </w:r>
    <w:sdt>
      <w:sdtPr>
        <w:id w:val="1308316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C2851">
          <w:rPr>
            <w:noProof/>
          </w:rPr>
          <w:t>3</w:t>
        </w:r>
        <w:r>
          <w:rPr>
            <w:noProof/>
          </w:rPr>
          <w:fldChar w:fldCharType="end"/>
        </w:r>
      </w:sdtContent>
    </w:sdt>
  </w:p>
  <w:p w14:paraId="6B2D9698" w14:textId="77777777" w:rsidR="00127CD3" w:rsidRDefault="00127C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13F"/>
    <w:rsid w:val="000E455B"/>
    <w:rsid w:val="00110E5E"/>
    <w:rsid w:val="00115B3D"/>
    <w:rsid w:val="00127CD3"/>
    <w:rsid w:val="00164803"/>
    <w:rsid w:val="001C48DF"/>
    <w:rsid w:val="00200D78"/>
    <w:rsid w:val="002112F2"/>
    <w:rsid w:val="00247878"/>
    <w:rsid w:val="00255038"/>
    <w:rsid w:val="002E2794"/>
    <w:rsid w:val="00322473"/>
    <w:rsid w:val="003C3443"/>
    <w:rsid w:val="003D00C2"/>
    <w:rsid w:val="003F110B"/>
    <w:rsid w:val="00404903"/>
    <w:rsid w:val="00407784"/>
    <w:rsid w:val="0043513F"/>
    <w:rsid w:val="004842D7"/>
    <w:rsid w:val="004D7FD3"/>
    <w:rsid w:val="00561856"/>
    <w:rsid w:val="005B52EB"/>
    <w:rsid w:val="00630464"/>
    <w:rsid w:val="006B108A"/>
    <w:rsid w:val="006E4E14"/>
    <w:rsid w:val="00750258"/>
    <w:rsid w:val="007B276B"/>
    <w:rsid w:val="007C66E5"/>
    <w:rsid w:val="007E30EF"/>
    <w:rsid w:val="00842F31"/>
    <w:rsid w:val="00850944"/>
    <w:rsid w:val="008A3EA5"/>
    <w:rsid w:val="008C2851"/>
    <w:rsid w:val="00903457"/>
    <w:rsid w:val="009657BA"/>
    <w:rsid w:val="00A154F0"/>
    <w:rsid w:val="00A571A6"/>
    <w:rsid w:val="00A64A7A"/>
    <w:rsid w:val="00A95333"/>
    <w:rsid w:val="00AC5B7F"/>
    <w:rsid w:val="00AD415B"/>
    <w:rsid w:val="00AF749F"/>
    <w:rsid w:val="00BA3D95"/>
    <w:rsid w:val="00CA28F7"/>
    <w:rsid w:val="00E135BD"/>
    <w:rsid w:val="00E71501"/>
    <w:rsid w:val="00EB08F0"/>
    <w:rsid w:val="00F476B6"/>
    <w:rsid w:val="00F91836"/>
    <w:rsid w:val="00F92681"/>
    <w:rsid w:val="00FC59CE"/>
    <w:rsid w:val="00FE7B8D"/>
    <w:rsid w:val="00FF333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D2A48"/>
  <w15:chartTrackingRefBased/>
  <w15:docId w15:val="{BFF9AD2E-F7F2-314D-90C7-DD8B8A2C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aragraph"/>
    <w:qFormat/>
    <w:rsid w:val="0043513F"/>
    <w:pPr>
      <w:spacing w:line="480" w:lineRule="auto"/>
    </w:pPr>
    <w:rPr>
      <w:rFonts w:ascii="Times New Roman" w:hAnsi="Times New Roman"/>
    </w:rPr>
  </w:style>
  <w:style w:type="paragraph" w:styleId="Heading2">
    <w:name w:val="heading 2"/>
    <w:basedOn w:val="Normal"/>
    <w:next w:val="Normal"/>
    <w:link w:val="Heading2Char"/>
    <w:uiPriority w:val="9"/>
    <w:unhideWhenUsed/>
    <w:qFormat/>
    <w:rsid w:val="0043513F"/>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513F"/>
    <w:rPr>
      <w:rFonts w:ascii="Times New Roman" w:eastAsiaTheme="majorEastAsia" w:hAnsi="Times New Roman" w:cstheme="majorBidi"/>
      <w:b/>
      <w:szCs w:val="26"/>
    </w:rPr>
  </w:style>
  <w:style w:type="character" w:styleId="CommentReference">
    <w:name w:val="annotation reference"/>
    <w:basedOn w:val="DefaultParagraphFont"/>
    <w:uiPriority w:val="99"/>
    <w:semiHidden/>
    <w:unhideWhenUsed/>
    <w:rsid w:val="0043513F"/>
    <w:rPr>
      <w:sz w:val="16"/>
      <w:szCs w:val="16"/>
    </w:rPr>
  </w:style>
  <w:style w:type="paragraph" w:styleId="CommentText">
    <w:name w:val="annotation text"/>
    <w:basedOn w:val="Normal"/>
    <w:link w:val="CommentTextChar"/>
    <w:uiPriority w:val="99"/>
    <w:semiHidden/>
    <w:unhideWhenUsed/>
    <w:rsid w:val="0043513F"/>
    <w:rPr>
      <w:sz w:val="20"/>
      <w:szCs w:val="20"/>
    </w:rPr>
  </w:style>
  <w:style w:type="character" w:customStyle="1" w:styleId="CommentTextChar">
    <w:name w:val="Comment Text Char"/>
    <w:basedOn w:val="DefaultParagraphFont"/>
    <w:link w:val="CommentText"/>
    <w:uiPriority w:val="99"/>
    <w:semiHidden/>
    <w:rsid w:val="0043513F"/>
    <w:rPr>
      <w:rFonts w:ascii="Times New Roman" w:hAnsi="Times New Roman"/>
      <w:sz w:val="20"/>
      <w:szCs w:val="20"/>
    </w:rPr>
  </w:style>
  <w:style w:type="paragraph" w:styleId="BalloonText">
    <w:name w:val="Balloon Text"/>
    <w:basedOn w:val="Normal"/>
    <w:link w:val="BalloonTextChar"/>
    <w:uiPriority w:val="99"/>
    <w:semiHidden/>
    <w:unhideWhenUsed/>
    <w:rsid w:val="0043513F"/>
    <w:pPr>
      <w:spacing w:line="240" w:lineRule="auto"/>
    </w:pPr>
    <w:rPr>
      <w:rFonts w:cs="Times New Roman"/>
      <w:sz w:val="26"/>
      <w:szCs w:val="26"/>
    </w:rPr>
  </w:style>
  <w:style w:type="character" w:customStyle="1" w:styleId="BalloonTextChar">
    <w:name w:val="Balloon Text Char"/>
    <w:basedOn w:val="DefaultParagraphFont"/>
    <w:link w:val="BalloonText"/>
    <w:uiPriority w:val="99"/>
    <w:semiHidden/>
    <w:rsid w:val="0043513F"/>
    <w:rPr>
      <w:rFonts w:ascii="Times New Roman" w:hAnsi="Times New Roman" w:cs="Times New Roman"/>
      <w:sz w:val="26"/>
      <w:szCs w:val="26"/>
    </w:rPr>
  </w:style>
  <w:style w:type="table" w:styleId="TableGrid">
    <w:name w:val="Table Grid"/>
    <w:basedOn w:val="TableNormal"/>
    <w:uiPriority w:val="39"/>
    <w:rsid w:val="00FF3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112F2"/>
    <w:pPr>
      <w:spacing w:line="240" w:lineRule="auto"/>
    </w:pPr>
    <w:rPr>
      <w:b/>
      <w:bCs/>
    </w:rPr>
  </w:style>
  <w:style w:type="character" w:customStyle="1" w:styleId="CommentSubjectChar">
    <w:name w:val="Comment Subject Char"/>
    <w:basedOn w:val="CommentTextChar"/>
    <w:link w:val="CommentSubject"/>
    <w:uiPriority w:val="99"/>
    <w:semiHidden/>
    <w:rsid w:val="002112F2"/>
    <w:rPr>
      <w:rFonts w:ascii="Times New Roman" w:hAnsi="Times New Roman"/>
      <w:b/>
      <w:bCs/>
      <w:sz w:val="20"/>
      <w:szCs w:val="20"/>
    </w:rPr>
  </w:style>
  <w:style w:type="paragraph" w:styleId="Revision">
    <w:name w:val="Revision"/>
    <w:hidden/>
    <w:uiPriority w:val="99"/>
    <w:semiHidden/>
    <w:rsid w:val="00322473"/>
    <w:rPr>
      <w:rFonts w:ascii="Times New Roman" w:hAnsi="Times New Roman"/>
    </w:rPr>
  </w:style>
  <w:style w:type="paragraph" w:styleId="Header">
    <w:name w:val="header"/>
    <w:basedOn w:val="Normal"/>
    <w:link w:val="HeaderChar"/>
    <w:uiPriority w:val="99"/>
    <w:unhideWhenUsed/>
    <w:rsid w:val="00842F31"/>
    <w:pPr>
      <w:tabs>
        <w:tab w:val="center" w:pos="4680"/>
        <w:tab w:val="right" w:pos="9360"/>
      </w:tabs>
      <w:spacing w:line="240" w:lineRule="auto"/>
    </w:pPr>
  </w:style>
  <w:style w:type="character" w:customStyle="1" w:styleId="HeaderChar">
    <w:name w:val="Header Char"/>
    <w:basedOn w:val="DefaultParagraphFont"/>
    <w:link w:val="Header"/>
    <w:uiPriority w:val="99"/>
    <w:rsid w:val="00842F31"/>
    <w:rPr>
      <w:rFonts w:ascii="Times New Roman" w:hAnsi="Times New Roman"/>
    </w:rPr>
  </w:style>
  <w:style w:type="paragraph" w:styleId="Footer">
    <w:name w:val="footer"/>
    <w:basedOn w:val="Normal"/>
    <w:link w:val="FooterChar"/>
    <w:uiPriority w:val="99"/>
    <w:unhideWhenUsed/>
    <w:rsid w:val="00842F31"/>
    <w:pPr>
      <w:tabs>
        <w:tab w:val="center" w:pos="4680"/>
        <w:tab w:val="right" w:pos="9360"/>
      </w:tabs>
      <w:spacing w:line="240" w:lineRule="auto"/>
    </w:pPr>
  </w:style>
  <w:style w:type="character" w:customStyle="1" w:styleId="FooterChar">
    <w:name w:val="Footer Char"/>
    <w:basedOn w:val="DefaultParagraphFont"/>
    <w:link w:val="Footer"/>
    <w:uiPriority w:val="99"/>
    <w:rsid w:val="00842F31"/>
    <w:rPr>
      <w:rFonts w:ascii="Times New Roman" w:hAnsi="Times New Roman"/>
    </w:rPr>
  </w:style>
  <w:style w:type="paragraph" w:styleId="FootnoteText">
    <w:name w:val="footnote text"/>
    <w:basedOn w:val="Normal"/>
    <w:link w:val="FootnoteTextChar"/>
    <w:uiPriority w:val="99"/>
    <w:semiHidden/>
    <w:unhideWhenUsed/>
    <w:rsid w:val="00255038"/>
    <w:pPr>
      <w:spacing w:line="240" w:lineRule="auto"/>
    </w:pPr>
    <w:rPr>
      <w:sz w:val="20"/>
      <w:szCs w:val="20"/>
    </w:rPr>
  </w:style>
  <w:style w:type="character" w:customStyle="1" w:styleId="FootnoteTextChar">
    <w:name w:val="Footnote Text Char"/>
    <w:basedOn w:val="DefaultParagraphFont"/>
    <w:link w:val="FootnoteText"/>
    <w:uiPriority w:val="99"/>
    <w:semiHidden/>
    <w:rsid w:val="00255038"/>
    <w:rPr>
      <w:rFonts w:ascii="Times New Roman" w:hAnsi="Times New Roman"/>
      <w:sz w:val="20"/>
      <w:szCs w:val="20"/>
    </w:rPr>
  </w:style>
  <w:style w:type="character" w:styleId="FootnoteReference">
    <w:name w:val="footnote reference"/>
    <w:basedOn w:val="DefaultParagraphFont"/>
    <w:uiPriority w:val="99"/>
    <w:semiHidden/>
    <w:unhideWhenUsed/>
    <w:rsid w:val="002550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93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D1601-4AF9-3E4B-80EE-5BD9F3FF3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5410</Characters>
  <Application>Microsoft Office Word</Application>
  <DocSecurity>0</DocSecurity>
  <Lines>115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Baer</dc:creator>
  <cp:keywords/>
  <dc:description/>
  <cp:lastModifiedBy>Carolyn Baer</cp:lastModifiedBy>
  <cp:revision>2</cp:revision>
  <dcterms:created xsi:type="dcterms:W3CDTF">2018-09-11T19:54:00Z</dcterms:created>
  <dcterms:modified xsi:type="dcterms:W3CDTF">2018-09-11T19:54:00Z</dcterms:modified>
</cp:coreProperties>
</file>